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2706EF">
      <w:pPr>
        <w:pStyle w:val="3"/>
        <w:keepNext w:val="0"/>
        <w:keepLines w:val="0"/>
        <w:widowControl/>
        <w:suppressLineNumbers w:val="0"/>
        <w:spacing w:before="0" w:beforeAutospacing="0" w:after="0" w:afterAutospacing="0"/>
        <w:ind w:right="0"/>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附件：</w:t>
      </w:r>
    </w:p>
    <w:p w14:paraId="36951BAC">
      <w:pPr>
        <w:pStyle w:val="3"/>
        <w:keepNext w:val="0"/>
        <w:keepLines w:val="0"/>
        <w:widowControl/>
        <w:suppressLineNumbers w:val="0"/>
        <w:spacing w:before="0" w:beforeAutospacing="0" w:after="0" w:afterAutospacing="0"/>
        <w:ind w:right="0"/>
        <w:jc w:val="center"/>
        <w:rPr>
          <w:rFonts w:hint="eastAsia"/>
          <w:b/>
          <w:bCs/>
          <w:sz w:val="40"/>
          <w:szCs w:val="40"/>
          <w:lang w:val="en-US" w:eastAsia="zh-CN"/>
        </w:rPr>
      </w:pPr>
      <w:r>
        <w:rPr>
          <w:rFonts w:hint="eastAsia"/>
          <w:b/>
          <w:bCs/>
          <w:sz w:val="40"/>
          <w:szCs w:val="40"/>
          <w:lang w:val="en-US" w:eastAsia="zh-CN"/>
        </w:rPr>
        <w:t>报价表</w:t>
      </w:r>
    </w:p>
    <w:p w14:paraId="54BBB5E0">
      <w:pPr>
        <w:keepNext w:val="0"/>
        <w:keepLines w:val="0"/>
        <w:pageBreakBefore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z w:val="28"/>
          <w:szCs w:val="28"/>
          <w:lang w:val="en-US" w:eastAsia="zh-CN"/>
        </w:rPr>
      </w:pPr>
      <w:r>
        <w:rPr>
          <w:rFonts w:hint="eastAsia" w:ascii="仿宋_GB2312" w:hAnsi="宋体" w:eastAsia="仿宋_GB2312" w:cs="仿宋_GB2312"/>
          <w:i w:val="0"/>
          <w:iCs w:val="0"/>
          <w:caps w:val="0"/>
          <w:color w:val="000000"/>
          <w:spacing w:val="0"/>
          <w:sz w:val="31"/>
          <w:szCs w:val="31"/>
          <w:shd w:val="clear" w:color="auto" w:fill="FFFFFF"/>
          <w:lang w:val="en-US" w:eastAsia="zh-CN"/>
        </w:rPr>
        <w:t>泰州医药高新股份有限公司</w:t>
      </w:r>
      <w:r>
        <w:rPr>
          <w:rFonts w:hint="default" w:ascii="Times New Roman" w:hAnsi="Times New Roman" w:eastAsia="仿宋_GB2312" w:cs="Times New Roman"/>
          <w:sz w:val="28"/>
          <w:szCs w:val="28"/>
          <w:lang w:val="en-US" w:eastAsia="zh-CN"/>
        </w:rPr>
        <w:t>：</w:t>
      </w:r>
    </w:p>
    <w:p w14:paraId="5ADB0EE4">
      <w:pPr>
        <w:pStyle w:val="2"/>
        <w:keepNext w:val="0"/>
        <w:keepLines w:val="0"/>
        <w:pageBreakBefore w:val="0"/>
        <w:kinsoku/>
        <w:wordWrap/>
        <w:overflowPunct/>
        <w:topLinePunct w:val="0"/>
        <w:autoSpaceDE/>
        <w:autoSpaceDN/>
        <w:bidi w:val="0"/>
        <w:adjustRightInd/>
        <w:snapToGrid/>
        <w:spacing w:after="0" w:line="520" w:lineRule="exact"/>
        <w:ind w:left="0" w:leftChars="0" w:firstLine="0" w:firstLineChars="0"/>
        <w:textAlignment w:val="auto"/>
        <w:rPr>
          <w:rFonts w:hint="default" w:ascii="仿宋_GB2312" w:hAnsi="宋体" w:eastAsia="仿宋_GB2312" w:cs="仿宋_GB2312"/>
          <w:i w:val="0"/>
          <w:iCs w:val="0"/>
          <w:caps w:val="0"/>
          <w:color w:val="000000"/>
          <w:spacing w:val="0"/>
          <w:kern w:val="2"/>
          <w:sz w:val="31"/>
          <w:szCs w:val="31"/>
          <w:shd w:val="clear" w:color="auto" w:fill="FFFFFF"/>
          <w:lang w:val="en-US" w:eastAsia="zh-CN" w:bidi="ar-SA"/>
        </w:rPr>
      </w:pPr>
      <w:r>
        <w:rPr>
          <w:rFonts w:hint="default" w:ascii="仿宋_GB2312" w:hAnsi="宋体" w:eastAsia="仿宋_GB2312" w:cs="仿宋_GB2312"/>
          <w:i w:val="0"/>
          <w:iCs w:val="0"/>
          <w:caps w:val="0"/>
          <w:color w:val="000000"/>
          <w:spacing w:val="0"/>
          <w:kern w:val="2"/>
          <w:sz w:val="31"/>
          <w:szCs w:val="31"/>
          <w:shd w:val="clear" w:color="auto" w:fill="FFFFFF"/>
          <w:lang w:val="en-US" w:eastAsia="zh-CN" w:bidi="ar-SA"/>
        </w:rPr>
        <w:t>1.对贵司</w:t>
      </w:r>
      <w:r>
        <w:rPr>
          <w:rFonts w:hint="eastAsia" w:ascii="仿宋_GB2312" w:hAnsi="宋体" w:eastAsia="仿宋_GB2312" w:cs="仿宋_GB2312"/>
          <w:i w:val="0"/>
          <w:iCs w:val="0"/>
          <w:caps w:val="0"/>
          <w:color w:val="000000"/>
          <w:spacing w:val="0"/>
          <w:kern w:val="2"/>
          <w:sz w:val="31"/>
          <w:szCs w:val="31"/>
          <w:shd w:val="clear" w:color="auto" w:fill="FFFFFF"/>
          <w:lang w:val="en-US" w:eastAsia="zh-CN" w:bidi="ar-SA"/>
        </w:rPr>
        <w:t>苏中药业有限公司蒸汽锅炉房</w:t>
      </w:r>
      <w:r>
        <w:rPr>
          <w:rFonts w:hint="default" w:ascii="仿宋_GB2312" w:hAnsi="宋体" w:eastAsia="仿宋_GB2312" w:cs="仿宋_GB2312"/>
          <w:i w:val="0"/>
          <w:iCs w:val="0"/>
          <w:caps w:val="0"/>
          <w:color w:val="000000"/>
          <w:spacing w:val="0"/>
          <w:kern w:val="2"/>
          <w:sz w:val="31"/>
          <w:szCs w:val="31"/>
          <w:shd w:val="clear" w:color="auto" w:fill="FFFFFF"/>
          <w:lang w:val="en-US" w:eastAsia="zh-CN" w:bidi="ar-SA"/>
        </w:rPr>
        <w:t>报价如下</w:t>
      </w:r>
      <w:r>
        <w:rPr>
          <w:rFonts w:hint="eastAsia" w:ascii="仿宋_GB2312" w:hAnsi="宋体" w:eastAsia="仿宋_GB2312" w:cs="仿宋_GB2312"/>
          <w:i w:val="0"/>
          <w:iCs w:val="0"/>
          <w:caps w:val="0"/>
          <w:color w:val="000000"/>
          <w:spacing w:val="0"/>
          <w:kern w:val="2"/>
          <w:sz w:val="31"/>
          <w:szCs w:val="31"/>
          <w:shd w:val="clear" w:color="auto" w:fill="FFFFFF"/>
          <w:lang w:val="en-US" w:eastAsia="zh-CN" w:bidi="ar-SA"/>
        </w:rPr>
        <w:t>:</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3534"/>
        <w:gridCol w:w="2829"/>
        <w:gridCol w:w="2345"/>
      </w:tblGrid>
      <w:tr w14:paraId="6F70F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610" w:type="dxa"/>
            <w:tcBorders>
              <w:top w:val="single" w:color="auto" w:sz="4" w:space="0"/>
              <w:left w:val="single" w:color="auto" w:sz="4" w:space="0"/>
              <w:bottom w:val="single" w:color="auto" w:sz="4" w:space="0"/>
              <w:right w:val="single" w:color="auto" w:sz="4" w:space="0"/>
            </w:tcBorders>
            <w:noWrap w:val="0"/>
            <w:vAlign w:val="center"/>
          </w:tcPr>
          <w:p w14:paraId="4D427670">
            <w:pPr>
              <w:keepNext w:val="0"/>
              <w:keepLines w:val="0"/>
              <w:pageBreakBefore w:val="0"/>
              <w:widowControl w:val="0"/>
              <w:kinsoku/>
              <w:wordWrap/>
              <w:overflowPunct/>
              <w:topLinePunct w:val="0"/>
              <w:autoSpaceDE/>
              <w:autoSpaceDN/>
              <w:bidi w:val="0"/>
              <w:adjustRightInd/>
              <w:snapToGrid/>
              <w:spacing w:line="520" w:lineRule="exact"/>
              <w:ind w:firstLine="0"/>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序</w:t>
            </w:r>
          </w:p>
        </w:tc>
        <w:tc>
          <w:tcPr>
            <w:tcW w:w="3534" w:type="dxa"/>
            <w:tcBorders>
              <w:top w:val="single" w:color="auto" w:sz="4" w:space="0"/>
              <w:left w:val="single" w:color="auto" w:sz="4" w:space="0"/>
              <w:bottom w:val="single" w:color="auto" w:sz="4" w:space="0"/>
              <w:right w:val="single" w:color="auto" w:sz="4" w:space="0"/>
            </w:tcBorders>
            <w:noWrap w:val="0"/>
            <w:vAlign w:val="center"/>
          </w:tcPr>
          <w:p w14:paraId="7ABFCF3A">
            <w:pPr>
              <w:keepNext w:val="0"/>
              <w:keepLines w:val="0"/>
              <w:pageBreakBefore w:val="0"/>
              <w:widowControl w:val="0"/>
              <w:tabs>
                <w:tab w:val="left" w:pos="2833"/>
              </w:tabs>
              <w:kinsoku/>
              <w:wordWrap/>
              <w:overflowPunct/>
              <w:topLinePunct w:val="0"/>
              <w:autoSpaceDE/>
              <w:autoSpaceDN/>
              <w:bidi w:val="0"/>
              <w:adjustRightInd/>
              <w:snapToGrid/>
              <w:spacing w:line="520" w:lineRule="exact"/>
              <w:ind w:firstLine="0"/>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标包</w:t>
            </w:r>
          </w:p>
        </w:tc>
        <w:tc>
          <w:tcPr>
            <w:tcW w:w="2829" w:type="dxa"/>
            <w:tcBorders>
              <w:top w:val="single" w:color="auto" w:sz="4" w:space="0"/>
              <w:left w:val="single" w:color="auto" w:sz="4" w:space="0"/>
              <w:bottom w:val="single" w:color="auto" w:sz="4" w:space="0"/>
              <w:right w:val="single" w:color="auto" w:sz="4" w:space="0"/>
            </w:tcBorders>
            <w:noWrap w:val="0"/>
            <w:vAlign w:val="center"/>
          </w:tcPr>
          <w:p w14:paraId="17AEF4D4">
            <w:pPr>
              <w:keepNext w:val="0"/>
              <w:keepLines w:val="0"/>
              <w:pageBreakBefore w:val="0"/>
              <w:widowControl w:val="0"/>
              <w:kinsoku/>
              <w:wordWrap/>
              <w:overflowPunct/>
              <w:topLinePunct w:val="0"/>
              <w:autoSpaceDE/>
              <w:autoSpaceDN/>
              <w:bidi w:val="0"/>
              <w:adjustRightInd/>
              <w:snapToGrid/>
              <w:spacing w:line="520" w:lineRule="exact"/>
              <w:ind w:firstLine="0"/>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报价（元）</w:t>
            </w:r>
          </w:p>
        </w:tc>
        <w:tc>
          <w:tcPr>
            <w:tcW w:w="2345" w:type="dxa"/>
            <w:tcBorders>
              <w:top w:val="single" w:color="auto" w:sz="4" w:space="0"/>
              <w:left w:val="single" w:color="auto" w:sz="4" w:space="0"/>
              <w:bottom w:val="single" w:color="auto" w:sz="4" w:space="0"/>
              <w:right w:val="single" w:color="auto" w:sz="4" w:space="0"/>
            </w:tcBorders>
            <w:noWrap w:val="0"/>
            <w:vAlign w:val="center"/>
          </w:tcPr>
          <w:p w14:paraId="444D0B68">
            <w:pPr>
              <w:keepNext w:val="0"/>
              <w:keepLines w:val="0"/>
              <w:pageBreakBefore w:val="0"/>
              <w:widowControl w:val="0"/>
              <w:kinsoku/>
              <w:wordWrap/>
              <w:overflowPunct/>
              <w:topLinePunct w:val="0"/>
              <w:autoSpaceDE/>
              <w:autoSpaceDN/>
              <w:bidi w:val="0"/>
              <w:adjustRightInd/>
              <w:snapToGrid/>
              <w:spacing w:line="520" w:lineRule="exact"/>
              <w:ind w:firstLine="0"/>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备注</w:t>
            </w:r>
          </w:p>
        </w:tc>
      </w:tr>
      <w:tr w14:paraId="37B04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610" w:type="dxa"/>
            <w:tcBorders>
              <w:top w:val="single" w:color="auto" w:sz="4" w:space="0"/>
              <w:left w:val="single" w:color="auto" w:sz="4" w:space="0"/>
              <w:bottom w:val="single" w:color="auto" w:sz="4" w:space="0"/>
              <w:right w:val="single" w:color="auto" w:sz="4" w:space="0"/>
            </w:tcBorders>
            <w:noWrap w:val="0"/>
            <w:vAlign w:val="center"/>
          </w:tcPr>
          <w:p w14:paraId="672D739B">
            <w:pPr>
              <w:keepNext w:val="0"/>
              <w:keepLines w:val="0"/>
              <w:pageBreakBefore w:val="0"/>
              <w:widowControl w:val="0"/>
              <w:kinsoku/>
              <w:wordWrap/>
              <w:overflowPunct/>
              <w:topLinePunct w:val="0"/>
              <w:autoSpaceDE/>
              <w:autoSpaceDN/>
              <w:bidi w:val="0"/>
              <w:adjustRightInd/>
              <w:snapToGrid/>
              <w:spacing w:line="520" w:lineRule="exact"/>
              <w:ind w:firstLine="0"/>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1</w:t>
            </w:r>
          </w:p>
        </w:tc>
        <w:tc>
          <w:tcPr>
            <w:tcW w:w="3534" w:type="dxa"/>
            <w:tcBorders>
              <w:top w:val="single" w:color="auto" w:sz="4" w:space="0"/>
              <w:left w:val="single" w:color="auto" w:sz="4" w:space="0"/>
              <w:bottom w:val="single" w:color="auto" w:sz="4" w:space="0"/>
              <w:right w:val="single" w:color="auto" w:sz="4" w:space="0"/>
            </w:tcBorders>
            <w:noWrap w:val="0"/>
            <w:vAlign w:val="center"/>
          </w:tcPr>
          <w:p w14:paraId="063B1EDE">
            <w:pPr>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32"/>
                <w:szCs w:val="32"/>
                <w:lang w:val="en-US" w:eastAsia="zh-CN" w:bidi="ar-SA"/>
              </w:rPr>
              <w:t>苏中药业有限公司蒸汽锅炉房</w:t>
            </w:r>
          </w:p>
        </w:tc>
        <w:tc>
          <w:tcPr>
            <w:tcW w:w="2829" w:type="dxa"/>
            <w:tcBorders>
              <w:top w:val="single" w:color="auto" w:sz="4" w:space="0"/>
              <w:left w:val="single" w:color="auto" w:sz="4" w:space="0"/>
              <w:bottom w:val="single" w:color="auto" w:sz="4" w:space="0"/>
              <w:right w:val="single" w:color="auto" w:sz="4" w:space="0"/>
            </w:tcBorders>
            <w:noWrap w:val="0"/>
            <w:vAlign w:val="center"/>
          </w:tcPr>
          <w:p w14:paraId="68083A17">
            <w:pPr>
              <w:keepNext w:val="0"/>
              <w:keepLines w:val="0"/>
              <w:pageBreakBefore w:val="0"/>
              <w:widowControl w:val="0"/>
              <w:kinsoku/>
              <w:wordWrap/>
              <w:overflowPunct/>
              <w:topLinePunct w:val="0"/>
              <w:autoSpaceDE/>
              <w:autoSpaceDN/>
              <w:bidi w:val="0"/>
              <w:adjustRightInd/>
              <w:snapToGrid/>
              <w:spacing w:line="520" w:lineRule="exact"/>
              <w:ind w:firstLine="0"/>
              <w:jc w:val="center"/>
              <w:textAlignment w:val="auto"/>
              <w:rPr>
                <w:rFonts w:hint="default" w:ascii="Times New Roman" w:hAnsi="Times New Roman" w:eastAsia="仿宋_GB2312" w:cs="Times New Roman"/>
                <w:kern w:val="2"/>
                <w:sz w:val="28"/>
                <w:szCs w:val="28"/>
                <w:lang w:val="en-US" w:eastAsia="zh-CN" w:bidi="ar-SA"/>
              </w:rPr>
            </w:pPr>
          </w:p>
        </w:tc>
        <w:tc>
          <w:tcPr>
            <w:tcW w:w="2345" w:type="dxa"/>
            <w:tcBorders>
              <w:top w:val="single" w:color="auto" w:sz="4" w:space="0"/>
              <w:left w:val="single" w:color="auto" w:sz="4" w:space="0"/>
              <w:bottom w:val="single" w:color="auto" w:sz="4" w:space="0"/>
              <w:right w:val="single" w:color="auto" w:sz="4" w:space="0"/>
            </w:tcBorders>
            <w:noWrap w:val="0"/>
            <w:vAlign w:val="center"/>
          </w:tcPr>
          <w:p w14:paraId="355C9F21">
            <w:pPr>
              <w:keepNext w:val="0"/>
              <w:keepLines w:val="0"/>
              <w:pageBreakBefore w:val="0"/>
              <w:widowControl w:val="0"/>
              <w:kinsoku/>
              <w:wordWrap/>
              <w:overflowPunct/>
              <w:topLinePunct w:val="0"/>
              <w:autoSpaceDE/>
              <w:autoSpaceDN/>
              <w:bidi w:val="0"/>
              <w:adjustRightInd/>
              <w:snapToGrid/>
              <w:spacing w:line="520" w:lineRule="exact"/>
              <w:ind w:firstLine="0"/>
              <w:jc w:val="center"/>
              <w:textAlignment w:val="auto"/>
              <w:rPr>
                <w:rFonts w:hint="default" w:ascii="Times New Roman" w:hAnsi="Times New Roman" w:eastAsia="仿宋_GB2312" w:cs="Times New Roman"/>
                <w:kern w:val="2"/>
                <w:sz w:val="28"/>
                <w:szCs w:val="28"/>
                <w:lang w:val="en-US" w:eastAsia="zh-CN" w:bidi="ar-SA"/>
              </w:rPr>
            </w:pPr>
          </w:p>
        </w:tc>
      </w:tr>
      <w:tr w14:paraId="14533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4144" w:type="dxa"/>
            <w:gridSpan w:val="2"/>
            <w:tcBorders>
              <w:top w:val="single" w:color="auto" w:sz="4" w:space="0"/>
              <w:left w:val="single" w:color="auto" w:sz="4" w:space="0"/>
              <w:bottom w:val="single" w:color="auto" w:sz="4" w:space="0"/>
              <w:right w:val="single" w:color="auto" w:sz="4" w:space="0"/>
            </w:tcBorders>
            <w:noWrap w:val="0"/>
            <w:vAlign w:val="center"/>
          </w:tcPr>
          <w:p w14:paraId="0A39A37A">
            <w:pPr>
              <w:keepNext w:val="0"/>
              <w:keepLines w:val="0"/>
              <w:pageBreakBefore w:val="0"/>
              <w:widowControl w:val="0"/>
              <w:tabs>
                <w:tab w:val="left" w:pos="2833"/>
              </w:tabs>
              <w:kinsoku/>
              <w:wordWrap/>
              <w:overflowPunct/>
              <w:topLinePunct w:val="0"/>
              <w:autoSpaceDE/>
              <w:autoSpaceDN/>
              <w:bidi w:val="0"/>
              <w:adjustRightInd/>
              <w:snapToGrid/>
              <w:spacing w:line="520" w:lineRule="exact"/>
              <w:ind w:firstLine="0"/>
              <w:jc w:val="center"/>
              <w:textAlignment w:val="auto"/>
              <w:rPr>
                <w:rFonts w:hint="default" w:ascii="Times New Roman" w:hAnsi="Times New Roman" w:eastAsia="仿宋_GB2312" w:cs="Times New Roman"/>
                <w:kern w:val="0"/>
                <w:sz w:val="28"/>
                <w:szCs w:val="28"/>
                <w:lang w:val="en-US" w:eastAsia="zh-CN"/>
              </w:rPr>
            </w:pPr>
            <w:r>
              <w:rPr>
                <w:rFonts w:hint="default" w:ascii="Times New Roman" w:hAnsi="Times New Roman" w:eastAsia="仿宋_GB2312" w:cs="Times New Roman"/>
                <w:kern w:val="0"/>
                <w:sz w:val="28"/>
                <w:szCs w:val="28"/>
                <w:lang w:val="en-US" w:eastAsia="zh-CN"/>
              </w:rPr>
              <w:t>合计（元）</w:t>
            </w:r>
          </w:p>
        </w:tc>
        <w:tc>
          <w:tcPr>
            <w:tcW w:w="2829" w:type="dxa"/>
            <w:tcBorders>
              <w:top w:val="single" w:color="auto" w:sz="4" w:space="0"/>
              <w:left w:val="single" w:color="auto" w:sz="4" w:space="0"/>
              <w:bottom w:val="single" w:color="auto" w:sz="4" w:space="0"/>
              <w:right w:val="single" w:color="auto" w:sz="4" w:space="0"/>
            </w:tcBorders>
            <w:noWrap w:val="0"/>
            <w:vAlign w:val="center"/>
          </w:tcPr>
          <w:p w14:paraId="151C0598">
            <w:pPr>
              <w:keepNext w:val="0"/>
              <w:keepLines w:val="0"/>
              <w:pageBreakBefore w:val="0"/>
              <w:widowControl w:val="0"/>
              <w:kinsoku/>
              <w:wordWrap/>
              <w:overflowPunct/>
              <w:topLinePunct w:val="0"/>
              <w:autoSpaceDE/>
              <w:autoSpaceDN/>
              <w:bidi w:val="0"/>
              <w:adjustRightInd/>
              <w:snapToGrid/>
              <w:spacing w:line="520" w:lineRule="exact"/>
              <w:ind w:firstLine="0"/>
              <w:jc w:val="center"/>
              <w:textAlignment w:val="auto"/>
              <w:rPr>
                <w:rFonts w:hint="default" w:ascii="Times New Roman" w:hAnsi="Times New Roman" w:eastAsia="仿宋_GB2312" w:cs="Times New Roman"/>
                <w:kern w:val="0"/>
                <w:sz w:val="28"/>
                <w:szCs w:val="28"/>
              </w:rPr>
            </w:pPr>
          </w:p>
        </w:tc>
        <w:tc>
          <w:tcPr>
            <w:tcW w:w="2345" w:type="dxa"/>
            <w:tcBorders>
              <w:top w:val="single" w:color="auto" w:sz="4" w:space="0"/>
              <w:left w:val="single" w:color="auto" w:sz="4" w:space="0"/>
              <w:bottom w:val="single" w:color="auto" w:sz="4" w:space="0"/>
              <w:right w:val="single" w:color="auto" w:sz="4" w:space="0"/>
            </w:tcBorders>
            <w:noWrap w:val="0"/>
            <w:vAlign w:val="center"/>
          </w:tcPr>
          <w:p w14:paraId="587B4A6E">
            <w:pPr>
              <w:keepNext w:val="0"/>
              <w:keepLines w:val="0"/>
              <w:pageBreakBefore w:val="0"/>
              <w:widowControl w:val="0"/>
              <w:kinsoku/>
              <w:wordWrap/>
              <w:overflowPunct/>
              <w:topLinePunct w:val="0"/>
              <w:autoSpaceDE/>
              <w:autoSpaceDN/>
              <w:bidi w:val="0"/>
              <w:adjustRightInd/>
              <w:snapToGrid/>
              <w:spacing w:line="520" w:lineRule="exact"/>
              <w:ind w:firstLine="0"/>
              <w:jc w:val="center"/>
              <w:textAlignment w:val="auto"/>
              <w:rPr>
                <w:rFonts w:hint="default" w:ascii="Times New Roman" w:hAnsi="Times New Roman" w:eastAsia="仿宋_GB2312" w:cs="Times New Roman"/>
                <w:kern w:val="0"/>
                <w:sz w:val="28"/>
                <w:szCs w:val="28"/>
              </w:rPr>
            </w:pPr>
          </w:p>
        </w:tc>
      </w:tr>
    </w:tbl>
    <w:p w14:paraId="6BC1021A">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宋体" w:eastAsia="仿宋_GB2312" w:cs="仿宋_GB2312"/>
          <w:i w:val="0"/>
          <w:iCs w:val="0"/>
          <w:caps w:val="0"/>
          <w:color w:val="000000"/>
          <w:spacing w:val="0"/>
          <w:kern w:val="2"/>
          <w:sz w:val="31"/>
          <w:szCs w:val="31"/>
          <w:shd w:val="clear" w:color="auto" w:fill="FFFFFF"/>
          <w:lang w:val="en-US" w:eastAsia="zh-CN" w:bidi="ar-SA"/>
        </w:rPr>
      </w:pPr>
      <w:bookmarkStart w:id="0" w:name="_GoBack"/>
      <w:bookmarkEnd w:id="0"/>
      <w:r>
        <w:rPr>
          <w:rFonts w:hint="default" w:ascii="仿宋_GB2312" w:hAnsi="宋体" w:eastAsia="仿宋_GB2312" w:cs="仿宋_GB2312"/>
          <w:i w:val="0"/>
          <w:iCs w:val="0"/>
          <w:caps w:val="0"/>
          <w:color w:val="000000"/>
          <w:spacing w:val="0"/>
          <w:kern w:val="2"/>
          <w:sz w:val="31"/>
          <w:szCs w:val="31"/>
          <w:shd w:val="clear" w:color="auto" w:fill="FFFFFF"/>
          <w:lang w:val="en-US" w:eastAsia="zh-CN" w:bidi="ar-SA"/>
        </w:rPr>
        <w:t>2.我方承诺：</w:t>
      </w:r>
    </w:p>
    <w:p w14:paraId="1504431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（1）对贵方转让标的现状和瑕疵已充分了解，对本次转让标的可能存在的风险有充分的认识，不会因资产受让后可能产生的任何经济或民事纠纷而向贵方进行追责和索赔。</w:t>
      </w:r>
    </w:p>
    <w:p w14:paraId="1292FEF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（2）在中标后</w:t>
      </w:r>
      <w:r>
        <w:rPr>
          <w:rFonts w:hint="eastAsia" w:ascii="Times New Roman" w:hAnsi="Times New Roman" w:eastAsia="仿宋_GB2312" w:cs="Times New Roman"/>
          <w:kern w:val="2"/>
          <w:sz w:val="28"/>
          <w:szCs w:val="28"/>
          <w:lang w:val="en-US" w:eastAsia="zh-CN" w:bidi="ar-SA"/>
        </w:rPr>
        <w:t>5</w:t>
      </w:r>
      <w:r>
        <w:rPr>
          <w:rFonts w:hint="default" w:ascii="Times New Roman" w:hAnsi="Times New Roman" w:eastAsia="仿宋_GB2312" w:cs="Times New Roman"/>
          <w:kern w:val="2"/>
          <w:sz w:val="28"/>
          <w:szCs w:val="28"/>
          <w:lang w:val="en-US" w:eastAsia="zh-CN" w:bidi="ar-SA"/>
        </w:rPr>
        <w:t>天内转移标的物，如不按期，贵方不再承担保管责任，一切后果由我方自担，与贵司无涉。</w:t>
      </w:r>
    </w:p>
    <w:p w14:paraId="77BED1D3">
      <w:pPr>
        <w:pStyle w:val="2"/>
        <w:rPr>
          <w:rFonts w:hint="eastAsia" w:ascii="仿宋_GB2312" w:hAnsi="仿宋_GB2312" w:eastAsia="仿宋_GB2312" w:cs="仿宋_GB2312"/>
          <w:kern w:val="2"/>
          <w:sz w:val="28"/>
          <w:szCs w:val="28"/>
          <w:lang w:val="en-US" w:eastAsia="zh-CN" w:bidi="ar-SA"/>
        </w:rPr>
      </w:pPr>
    </w:p>
    <w:p w14:paraId="59DFAA45">
      <w:pPr>
        <w:rPr>
          <w:rFonts w:hint="eastAsia" w:ascii="仿宋_GB2312" w:hAnsi="仿宋_GB2312" w:eastAsia="仿宋_GB2312" w:cs="仿宋_GB2312"/>
          <w:kern w:val="2"/>
          <w:sz w:val="28"/>
          <w:szCs w:val="28"/>
          <w:lang w:val="en-US" w:eastAsia="zh-CN" w:bidi="ar-SA"/>
        </w:rPr>
      </w:pPr>
    </w:p>
    <w:p w14:paraId="7C38A193">
      <w:pPr>
        <w:pStyle w:val="2"/>
        <w:jc w:val="center"/>
        <w:rPr>
          <w:rFonts w:hint="eastAsia" w:ascii="仿宋_GB2312" w:hAnsi="仿宋_GB2312" w:eastAsia="仿宋_GB2312" w:cs="仿宋_GB2312"/>
          <w:kern w:val="2"/>
          <w:sz w:val="28"/>
          <w:szCs w:val="28"/>
          <w:lang w:val="en-US" w:eastAsia="zh-CN" w:bidi="ar-SA"/>
        </w:rPr>
      </w:pPr>
    </w:p>
    <w:p w14:paraId="7D92FE93">
      <w:pPr>
        <w:pStyle w:val="2"/>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投标人（盖章）：</w:t>
      </w:r>
    </w:p>
    <w:p w14:paraId="6DA91EEE">
      <w:pPr>
        <w:pStyle w:val="2"/>
        <w:jc w:val="righ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 xml:space="preserve">               年    月     日           </w:t>
      </w:r>
    </w:p>
    <w:p w14:paraId="6FFE277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0254C08"/>
    <w:rsid w:val="17FC1E97"/>
    <w:rsid w:val="203330E1"/>
    <w:rsid w:val="407C1C97"/>
    <w:rsid w:val="494055B9"/>
    <w:rsid w:val="57A04D4E"/>
    <w:rsid w:val="5AA02413"/>
    <w:rsid w:val="5DD63ED9"/>
    <w:rsid w:val="75670D04"/>
    <w:rsid w:val="76A22F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w:basedOn w:val="1"/>
    <w:next w:val="1"/>
    <w:qFormat/>
    <w:uiPriority w:val="99"/>
    <w:pPr>
      <w:spacing w:after="120"/>
      <w:ind w:left="420" w:leftChars="200"/>
    </w:pPr>
    <w:rPr>
      <w:rFonts w:ascii="楷体_GB2312" w:hAnsi="Times New Roman" w:eastAsia="楷体_GB2312"/>
      <w:sz w:val="32"/>
      <w:szCs w:val="32"/>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2026-05-27T02:47:00Z</dcterms:created>
  <dc:creator>Administrator</dc:creator>
  <cp:lastModifiedBy>Administrator</cp:lastModifiedBy>
  <dcterms:modified xsi:type="dcterms:W3CDTF">2026-09-02T01:02:24Z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ICV">
    <vt:lpwstr>1C8C3716F29E47C89744CA76ADCF826A_12</vt:lpwstr>
  </property>
</Properties>
</file>