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9077F">
      <w:pPr>
        <w:keepNext w:val="0"/>
        <w:keepLines w:val="0"/>
        <w:pageBreakBefore w:val="0"/>
        <w:widowControl w:val="0"/>
        <w:kinsoku/>
        <w:wordWrap/>
        <w:overflowPunct/>
        <w:topLinePunct w:val="0"/>
        <w:autoSpaceDE w:val="0"/>
        <w:autoSpaceDN w:val="0"/>
        <w:bidi w:val="0"/>
        <w:adjustRightInd w:val="0"/>
        <w:snapToGrid w:val="0"/>
        <w:spacing w:line="520" w:lineRule="exact"/>
        <w:ind w:left="0" w:leftChars="0" w:right="0" w:firstLine="0" w:firstLineChars="0"/>
        <w:jc w:val="center"/>
        <w:textAlignment w:val="baseline"/>
        <w:rPr>
          <w:rFonts w:hint="eastAsia" w:ascii="Times New Roman" w:hAnsi="Times New Roman" w:eastAsia="方正小标宋_GBK" w:cs="Times New Roman"/>
          <w:sz w:val="42"/>
          <w:szCs w:val="42"/>
        </w:rPr>
      </w:pPr>
    </w:p>
    <w:p w14:paraId="428847FE">
      <w:pPr>
        <w:keepNext w:val="0"/>
        <w:keepLines w:val="0"/>
        <w:pageBreakBefore w:val="0"/>
        <w:widowControl w:val="0"/>
        <w:kinsoku/>
        <w:wordWrap/>
        <w:overflowPunct/>
        <w:topLinePunct w:val="0"/>
        <w:autoSpaceDE w:val="0"/>
        <w:autoSpaceDN w:val="0"/>
        <w:bidi w:val="0"/>
        <w:adjustRightInd w:val="0"/>
        <w:snapToGrid w:val="0"/>
        <w:spacing w:line="520" w:lineRule="exact"/>
        <w:ind w:left="0" w:leftChars="0" w:right="0" w:firstLine="0" w:firstLineChars="0"/>
        <w:jc w:val="center"/>
        <w:textAlignment w:val="baseline"/>
        <w:rPr>
          <w:rFonts w:hint="eastAsia" w:ascii="Times New Roman" w:hAnsi="Times New Roman" w:eastAsia="方正小标宋_GBK" w:cs="Times New Roman"/>
          <w:sz w:val="42"/>
          <w:szCs w:val="42"/>
        </w:rPr>
      </w:pPr>
      <w:bookmarkStart w:id="0" w:name="_GoBack"/>
      <w:r>
        <w:rPr>
          <w:rFonts w:hint="eastAsia" w:ascii="Times New Roman" w:hAnsi="Times New Roman" w:eastAsia="方正小标宋_GBK" w:cs="Times New Roman"/>
          <w:sz w:val="42"/>
          <w:szCs w:val="42"/>
          <w:lang w:eastAsia="zh-CN"/>
        </w:rPr>
        <w:t>泰州国投集团</w:t>
      </w:r>
      <w:r>
        <w:rPr>
          <w:rFonts w:hint="eastAsia" w:ascii="Times New Roman" w:hAnsi="Times New Roman" w:eastAsia="方正小标宋_GBK" w:cs="Times New Roman"/>
          <w:sz w:val="42"/>
          <w:szCs w:val="42"/>
        </w:rPr>
        <w:t>党委关于</w:t>
      </w:r>
      <w:r>
        <w:rPr>
          <w:rFonts w:hint="eastAsia" w:ascii="Times New Roman" w:hAnsi="Times New Roman" w:eastAsia="方正小标宋_GBK" w:cs="Times New Roman"/>
          <w:sz w:val="42"/>
          <w:szCs w:val="42"/>
          <w:lang w:eastAsia="zh-CN"/>
        </w:rPr>
        <w:t>区党工委（</w:t>
      </w:r>
      <w:r>
        <w:rPr>
          <w:rFonts w:hint="eastAsia" w:ascii="Times New Roman" w:hAnsi="Times New Roman" w:eastAsia="方正小标宋_GBK" w:cs="Times New Roman"/>
          <w:sz w:val="42"/>
          <w:szCs w:val="42"/>
        </w:rPr>
        <w:t>区委</w:t>
      </w:r>
      <w:r>
        <w:rPr>
          <w:rFonts w:hint="eastAsia" w:ascii="Times New Roman" w:hAnsi="Times New Roman" w:eastAsia="方正小标宋_GBK" w:cs="Times New Roman"/>
          <w:sz w:val="42"/>
          <w:szCs w:val="42"/>
          <w:lang w:eastAsia="zh-CN"/>
        </w:rPr>
        <w:t>）</w:t>
      </w:r>
      <w:r>
        <w:rPr>
          <w:rFonts w:hint="eastAsia" w:ascii="Times New Roman" w:hAnsi="Times New Roman" w:eastAsia="方正小标宋_GBK" w:cs="Times New Roman"/>
          <w:sz w:val="42"/>
          <w:szCs w:val="42"/>
        </w:rPr>
        <w:t>巡察</w:t>
      </w:r>
    </w:p>
    <w:p w14:paraId="326993B7">
      <w:pPr>
        <w:keepNext w:val="0"/>
        <w:keepLines w:val="0"/>
        <w:pageBreakBefore w:val="0"/>
        <w:widowControl w:val="0"/>
        <w:kinsoku/>
        <w:wordWrap/>
        <w:overflowPunct/>
        <w:topLinePunct w:val="0"/>
        <w:autoSpaceDE w:val="0"/>
        <w:autoSpaceDN w:val="0"/>
        <w:bidi w:val="0"/>
        <w:adjustRightInd w:val="0"/>
        <w:snapToGrid w:val="0"/>
        <w:spacing w:line="520" w:lineRule="exact"/>
        <w:ind w:left="0" w:leftChars="0" w:right="0" w:firstLine="0" w:firstLineChars="0"/>
        <w:jc w:val="center"/>
        <w:textAlignment w:val="baseline"/>
        <w:rPr>
          <w:rFonts w:hint="eastAsia" w:ascii="Times New Roman" w:hAnsi="Times New Roman" w:eastAsia="方正小标宋_GBK" w:cs="Times New Roman"/>
          <w:sz w:val="42"/>
          <w:szCs w:val="42"/>
          <w:lang w:val="en-US" w:eastAsia="zh-CN"/>
        </w:rPr>
      </w:pPr>
      <w:r>
        <w:rPr>
          <w:rFonts w:hint="eastAsia" w:ascii="Times New Roman" w:hAnsi="Times New Roman" w:eastAsia="方正小标宋_GBK" w:cs="Times New Roman"/>
          <w:sz w:val="42"/>
          <w:szCs w:val="42"/>
        </w:rPr>
        <w:t>整改进展情况的</w:t>
      </w:r>
      <w:r>
        <w:rPr>
          <w:rFonts w:hint="eastAsia" w:ascii="Times New Roman" w:hAnsi="Times New Roman" w:eastAsia="方正小标宋_GBK" w:cs="Times New Roman"/>
          <w:sz w:val="42"/>
          <w:szCs w:val="42"/>
          <w:lang w:val="en-US" w:eastAsia="zh-CN"/>
        </w:rPr>
        <w:t>通报</w:t>
      </w:r>
    </w:p>
    <w:bookmarkEnd w:id="0"/>
    <w:p w14:paraId="159FE5B0">
      <w:pPr>
        <w:keepNext w:val="0"/>
        <w:keepLines w:val="0"/>
        <w:pageBreakBefore w:val="0"/>
        <w:widowControl w:val="0"/>
        <w:kinsoku/>
        <w:wordWrap/>
        <w:overflowPunct/>
        <w:topLinePunct w:val="0"/>
        <w:autoSpaceDE w:val="0"/>
        <w:autoSpaceDN w:val="0"/>
        <w:bidi w:val="0"/>
        <w:adjustRightInd w:val="0"/>
        <w:snapToGrid w:val="0"/>
        <w:spacing w:line="520" w:lineRule="exact"/>
        <w:ind w:left="0" w:leftChars="0" w:right="0" w:firstLine="0" w:firstLineChars="0"/>
        <w:jc w:val="center"/>
        <w:textAlignment w:val="baseline"/>
        <w:rPr>
          <w:rFonts w:hint="eastAsia" w:ascii="Times New Roman" w:hAnsi="Times New Roman" w:eastAsia="仿宋_GB2312" w:cs="Times New Roman"/>
          <w:sz w:val="32"/>
          <w:szCs w:val="32"/>
        </w:rPr>
      </w:pPr>
    </w:p>
    <w:p w14:paraId="01818652">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根据区党工委（区委）统一部署，区党工委（区委）第</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巡察组对</w:t>
      </w:r>
      <w:r>
        <w:rPr>
          <w:rFonts w:hint="default" w:ascii="Times New Roman" w:hAnsi="Times New Roman" w:eastAsia="仿宋_GB2312" w:cs="Times New Roman"/>
          <w:sz w:val="32"/>
          <w:szCs w:val="32"/>
          <w:lang w:eastAsia="zh-CN"/>
        </w:rPr>
        <w:t>泰州国投集团</w:t>
      </w:r>
      <w:r>
        <w:rPr>
          <w:rFonts w:hint="default" w:ascii="Times New Roman" w:hAnsi="Times New Roman" w:eastAsia="仿宋_GB2312" w:cs="Times New Roman"/>
          <w:sz w:val="32"/>
          <w:szCs w:val="32"/>
        </w:rPr>
        <w:t>党委开展了巡察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并于</w:t>
      </w:r>
      <w:r>
        <w:rPr>
          <w:rFonts w:hint="default" w:ascii="Times New Roman" w:hAnsi="Times New Roman" w:eastAsia="仿宋_GB2312" w:cs="Times New Roman"/>
          <w:sz w:val="32"/>
          <w:szCs w:val="32"/>
          <w:lang w:val="en-US" w:eastAsia="zh-CN"/>
        </w:rPr>
        <w:t>2025年9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日进行了反馈。</w:t>
      </w:r>
      <w:r>
        <w:rPr>
          <w:rFonts w:hint="default" w:ascii="Times New Roman" w:hAnsi="Times New Roman" w:eastAsia="仿宋_GB2312" w:cs="Times New Roman"/>
          <w:color w:val="auto"/>
          <w:sz w:val="32"/>
          <w:szCs w:val="32"/>
        </w:rPr>
        <w:t>按照党务公开原则和巡</w:t>
      </w:r>
      <w:r>
        <w:rPr>
          <w:rFonts w:hint="default" w:ascii="Times New Roman" w:hAnsi="Times New Roman" w:eastAsia="仿宋_GB2312" w:cs="Times New Roman"/>
          <w:color w:val="auto"/>
          <w:sz w:val="32"/>
          <w:szCs w:val="32"/>
          <w:lang w:val="en-US" w:eastAsia="zh-CN"/>
        </w:rPr>
        <w:t>察</w:t>
      </w:r>
      <w:r>
        <w:rPr>
          <w:rFonts w:hint="default" w:ascii="Times New Roman" w:hAnsi="Times New Roman" w:eastAsia="仿宋_GB2312" w:cs="Times New Roman"/>
          <w:color w:val="auto"/>
          <w:sz w:val="32"/>
          <w:szCs w:val="32"/>
        </w:rPr>
        <w:t>工作有关要求，现将巡</w:t>
      </w:r>
      <w:r>
        <w:rPr>
          <w:rFonts w:hint="default" w:ascii="Times New Roman" w:hAnsi="Times New Roman" w:eastAsia="仿宋_GB2312" w:cs="Times New Roman"/>
          <w:color w:val="auto"/>
          <w:sz w:val="32"/>
          <w:szCs w:val="32"/>
          <w:lang w:val="en-US" w:eastAsia="zh-CN"/>
        </w:rPr>
        <w:t>察</w:t>
      </w:r>
      <w:r>
        <w:rPr>
          <w:rFonts w:hint="default" w:ascii="Times New Roman" w:hAnsi="Times New Roman" w:eastAsia="仿宋_GB2312" w:cs="Times New Roman"/>
          <w:color w:val="auto"/>
          <w:sz w:val="32"/>
          <w:szCs w:val="32"/>
        </w:rPr>
        <w:t>整改进展情况予以公布。</w:t>
      </w:r>
    </w:p>
    <w:p w14:paraId="6F4D9D2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一、巡察整改组织领导情况</w:t>
      </w:r>
    </w:p>
    <w:p w14:paraId="153293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26</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lang w:eastAsia="zh-CN"/>
        </w:rPr>
        <w:t>泰州国投集团</w:t>
      </w:r>
      <w:r>
        <w:rPr>
          <w:rFonts w:hint="default" w:ascii="Times New Roman" w:hAnsi="Times New Roman" w:eastAsia="仿宋_GB2312" w:cs="Times New Roman"/>
          <w:color w:val="000000"/>
          <w:sz w:val="32"/>
          <w:szCs w:val="32"/>
        </w:rPr>
        <w:t>召开</w:t>
      </w:r>
      <w:r>
        <w:rPr>
          <w:rFonts w:hint="default" w:ascii="Times New Roman" w:hAnsi="Times New Roman" w:eastAsia="仿宋_GB2312" w:cs="Times New Roman"/>
          <w:color w:val="000000"/>
          <w:sz w:val="32"/>
          <w:szCs w:val="32"/>
          <w:lang w:eastAsia="zh-CN"/>
        </w:rPr>
        <w:t>第一届临时党委会，</w:t>
      </w:r>
      <w:r>
        <w:rPr>
          <w:rFonts w:hint="default" w:ascii="Times New Roman" w:hAnsi="Times New Roman" w:eastAsia="仿宋_GB2312" w:cs="Times New Roman"/>
          <w:color w:val="000000"/>
          <w:sz w:val="32"/>
          <w:szCs w:val="32"/>
        </w:rPr>
        <w:t>传达贯彻习近平总书记关于巡视整改工作的重要指示，以及区党工委（区委）书记专题会、第八轮巡察反馈会要求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同时成立整改工作领导小组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明确党委书记履行第一责任人责任，对巡察整改负总责，带头领办学习贯彻党的二十大精神、推进高质量发展、加强党的领导、解决重点难点问题；领导班子其他成员履行“一岗双责”，推动职责范围内巡察整改任务落到实处。 公司领导班子对分管领域问题逐项审核、逐环节跟进，保证集中整改期任务真改实改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整改工作领导小组定期开展专项督导，将整改与公司发展难点有机融合，转化为规范治理和高质量发展的实际成效。</w:t>
      </w:r>
    </w:p>
    <w:p w14:paraId="1714E1A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二、整改进展情况及成效</w:t>
      </w:r>
    </w:p>
    <w:p w14:paraId="2E44D5D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（一）集中整改期内已完成的整改事项</w:t>
      </w:r>
    </w:p>
    <w:p w14:paraId="6FE4E1D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楷体_GB2312" w:cs="Times New Roman"/>
          <w:sz w:val="32"/>
          <w:szCs w:val="32"/>
          <w:lang w:eastAsia="zh-CN"/>
        </w:rPr>
      </w:pPr>
      <w:r>
        <w:rPr>
          <w:rFonts w:hint="default" w:ascii="Times New Roman" w:hAnsi="Times New Roman" w:eastAsia="仿宋_GB2312" w:cs="Times New Roman"/>
          <w:b/>
          <w:bCs/>
          <w:sz w:val="32"/>
          <w:szCs w:val="32"/>
          <w:lang w:val="en-US" w:eastAsia="zh-CN"/>
        </w:rPr>
        <w:t>1. 关于“‘第一议题’制度执行不到位”问题的整改。</w:t>
      </w:r>
    </w:p>
    <w:p w14:paraId="595CA32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将“第一议题”学习纳入党委会规定动作，常态化开展学习。2025年10月至2026年4月共召开8次党委会，组织党委会理论中心组学习7次，将学习习近平总书记重要讲话、重要指示精神等作为“第一议题”，做到应学尽学不遗漏。</w:t>
      </w:r>
    </w:p>
    <w:p w14:paraId="00F0DA0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（2）2025年11月25日，制发《国投集团党委“第一议题”学习制度》，并严格按照制度常态化开展“第一议题”学习。   </w:t>
      </w:r>
    </w:p>
    <w:p w14:paraId="722D837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（3）2025年10月27日，组织党员干部参观渡江胜利纪念馆、雨花台烈士陵园；2026年2月，将“第一议题”制度落实情况纳入领导干部2025年度年度述职述廉、民主生活会对照检查的重要内容。</w:t>
      </w:r>
    </w:p>
    <w:p w14:paraId="5942D93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cs="Times New Roman"/>
          <w:b/>
          <w:bCs/>
          <w:sz w:val="32"/>
          <w:szCs w:val="32"/>
        </w:rPr>
      </w:pPr>
      <w:r>
        <w:rPr>
          <w:rFonts w:hint="default" w:ascii="Times New Roman" w:hAnsi="Times New Roman" w:cs="Times New Roman"/>
          <w:b/>
          <w:bCs/>
          <w:sz w:val="32"/>
          <w:szCs w:val="32"/>
        </w:rPr>
        <w:t>2</w:t>
      </w:r>
      <w:r>
        <w:rPr>
          <w:rFonts w:hint="default" w:ascii="Times New Roman" w:hAnsi="Times New Roman" w:eastAsia="楷体_GB2312" w:cs="Times New Roman"/>
          <w:b/>
          <w:bCs/>
          <w:sz w:val="32"/>
          <w:szCs w:val="32"/>
        </w:rPr>
        <w:t xml:space="preserve">. </w:t>
      </w:r>
      <w:r>
        <w:rPr>
          <w:rFonts w:hint="default" w:ascii="Times New Roman" w:hAnsi="Times New Roman" w:eastAsia="仿宋_GB2312" w:cs="Times New Roman"/>
          <w:b/>
          <w:bCs/>
          <w:sz w:val="32"/>
          <w:szCs w:val="32"/>
          <w:lang w:val="en-US" w:eastAsia="zh-CN"/>
        </w:rPr>
        <w:t>关于“政治理论学习浮于表面”问题的整改。</w:t>
      </w:r>
    </w:p>
    <w:p w14:paraId="2040F5B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（1）每月将中央、省市区委重要会议、文件精神第一时间纳入“第一议题”学习，确保重要会议、文件精神应学尽学。</w:t>
      </w:r>
    </w:p>
    <w:p w14:paraId="217ED0A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）通过党委理论中心组学习、主题党日等方式积极开展政治理论学习，并针对重要文件、重要讲话精神等每年开展不少于4次交流研讨，确保学习走深走实。</w:t>
      </w:r>
    </w:p>
    <w:p w14:paraId="7B0A459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2025年10月27日，组织党员干部参观渡江胜利纪念馆、雨花台烈士陵园；2026年3月12日，组织开展植树节志愿服务活动，并将党员义务活动等纳入年度党建工作清单；2026年3月6日，联合纪委办常态化开展警示教育以进一步提升政治理论学习穿透力。</w:t>
      </w:r>
    </w:p>
    <w:p w14:paraId="6B30312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关于“意识形态工作重视不够”问题的整改。</w:t>
      </w:r>
    </w:p>
    <w:p w14:paraId="5855291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（1）2026年2月，成立意识形态工作领导小组，明确分管领导、组长及成员责任，并严格按照相关规定做好舆情舆论防控工作。</w:t>
      </w:r>
    </w:p>
    <w:p w14:paraId="787E8C4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）将意识形态工作责任制落实情况作为个人述职材料的重要组成部分，并纳入民主生活会对照检查、述职评议、干部考核的重要内容。</w:t>
      </w:r>
    </w:p>
    <w:p w14:paraId="740B838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）2025年10月29日，制定《舆情应对工作方案》《门户网站管理规定》，严格按照规定规范管理微信公账号、门户网站等平台。</w:t>
      </w:r>
    </w:p>
    <w:p w14:paraId="2BEE421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4.关于“盈利能力差”问题的整改。</w:t>
      </w:r>
    </w:p>
    <w:p w14:paraId="10F0ADE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2025年10月30日，组织提质增效实战培训，特邀“产、融、建”一体化资深操盘专家现场授课，公司主要领导、各相关部门、子公司负责人及核心岗位人员参与了培训。培训结合集团实际，聚焦“降负债、增盈利、管成本”三大关键领域，针对性系统性地做出了指导，提升了参训人员的产业认知与职业化管理能力。</w:t>
      </w:r>
    </w:p>
    <w:p w14:paraId="3AC48D9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拓展蒸汽供应及运营管理项目，截止2026年4月已实现销售25761吨；对现有资产进行盘活，通过出租、合作运营等方式提高资产利用率，增加盈利能力，2025年度，安置房、公租房、商业综合体、人才公寓盘活面积达25万平方米。</w:t>
      </w:r>
    </w:p>
    <w:p w14:paraId="1E432A6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（3）组织经营性子公司2025年度重点工作完成情况考核，将经营指标列为子公司年度重点工作的核心任务，对月度经营指标完成情况进行督查并落实预警机制，考核结果与绩效管理相结合，增强全员参与意识。</w:t>
      </w:r>
    </w:p>
    <w:p w14:paraId="3B09204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5.关于“服务全区重点产业投资经营能力不足”问题的整改。</w:t>
      </w:r>
    </w:p>
    <w:p w14:paraId="07E7D6A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（1）半年度完善参股企业台账，编制《参股企业项目信息汇总表》，梳理“三类参股投资”企业名单。</w:t>
      </w:r>
    </w:p>
    <w:p w14:paraId="3C2E3C2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为科学谋划，统筹布局，集团组织编写“十五五”战略发展规划，规划涵盖集团各子公司及各业务板块，明确做强医药康养为核心的医药康养板块、稳固基础设施与城市商业运营板块，为未来可持续发展筑牢根基。2025年12月10日、2026年1月16日先后完成“十五五”战略发展规划意见征求和专家评审。</w:t>
      </w:r>
    </w:p>
    <w:p w14:paraId="2841507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（3）围绕公司未来产业投资定位，采集2026年1季度大健康产业相关政策和项目信息并进行了汇编，为系统布局谋划做好储备并提供前瞻支撑。</w:t>
      </w:r>
    </w:p>
    <w:p w14:paraId="6F5B525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6.关于“参股企业经营未达预期、收益未及时分配”问题的整改。</w:t>
      </w:r>
    </w:p>
    <w:p w14:paraId="1D756AB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鑫华公司2022年应分配利润43.12万元于2025年4月入账；2026年4月17日，鑫华公司股东会对2023-2024年度分红事项进行决议。2025年11月，对公司所有参股企业的利润分配情况开展全面排查，并制定《华信公司、华康公司对外投资企业分红汇总表》，形成华信公司、华康公司参股企业利润分配情况汇报，分类施策，逐一指定专人负责对接。</w:t>
      </w:r>
    </w:p>
    <w:p w14:paraId="7ACC48E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加强参股企业系统管理，半年度收集参股企业财务信息和运营情况信息，编制《参股企业项目信息汇总表》，每年度的1月、4月、7月、10月编写投资项目投后管理报告；2026年3月18日实地走访一家参股企业并形成经营分析报告。</w:t>
      </w:r>
    </w:p>
    <w:p w14:paraId="71DBD48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（3）2026年3月19日组织相关人员开展了《国有企业参股管理暂行办法》（国资发改革〔2023〕41号）专题学习；2026年4月形成参股企业2025年度经营情况报告。</w:t>
      </w:r>
    </w:p>
    <w:p w14:paraId="1F35F07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7.关于“关联交易风险防范不到位”问题的整改。</w:t>
      </w:r>
    </w:p>
    <w:p w14:paraId="23C183F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（1）截至2025年10月已委托第三方审计机构，对与公司合作期间的全部项目投资、资金往来、合同履行及公司治理情况进行审计，已依法依规处理合同终止、股权清退、债权债务清算等事宜。</w:t>
      </w:r>
    </w:p>
    <w:p w14:paraId="26C2CEB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（2）向混改企业委派董事及相关管理人员加强监督，定期收集汇总混改企业的关联方名录及关联交易清单并报相关监管部门备案。</w:t>
      </w:r>
    </w:p>
    <w:p w14:paraId="258FA3A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2026年1月16日，组织开展关联交易合规管理专题培训，培训结合公司实际系统梳理关联交易管理的核心要点、政策依据、操作规范、风险警示。通过培训进一步增强风险防控意识，提升企业管理效能，保障今后企业经营活动合法合规开展。</w:t>
      </w:r>
    </w:p>
    <w:p w14:paraId="7004C62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8.关于“超额分配利润”问题的整改。</w:t>
      </w:r>
    </w:p>
    <w:p w14:paraId="7197626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（1）2021年超额分配的利润47.83万元，已于2026年4月9日退至信诚公司账户，并完成账务处理。</w:t>
      </w:r>
    </w:p>
    <w:p w14:paraId="6FE89002">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针对2021年超额分配问题，开展全面自查并固化合规流程，2026年3月，组织2022年及以后年度的利润分配情况自查，确保符合公司章程及合作协议的规定。</w:t>
      </w:r>
    </w:p>
    <w:p w14:paraId="0E28B54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9.关于“内控监管缺失”问题的整改。</w:t>
      </w:r>
    </w:p>
    <w:p w14:paraId="6641AF3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（1）对违规发放非本单位职工薪酬问题进行立案调查，2025年12月20日，给予负责人警告处分，处分期六个月；2025年12月5日相关人员退出违规领取的薪酬，账务处理已完成。</w:t>
      </w:r>
    </w:p>
    <w:p w14:paraId="26D6063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信诚公司办公室与财务部门组成联合专项工作小组，2025年12月，对2025年的所有薪酬发放记录进行全面比对与核查，核查范围覆盖全体员工名册、工资表、考勤记录，并形成《信诚公司关于薪酬发放于人员精简管理专项清查情况的报告》。公司将持续巩固此次整改成效，确保此类问题不再发生。</w:t>
      </w:r>
    </w:p>
    <w:p w14:paraId="359C7CF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度已精简劳务派遣人员10人，对人员在岗情况进行动态抽查，对劳务派遣人员工资发放加强核查；过渡合作期间所有业务活动均严格按审批权限、审批流程执行；将对信诚公司监管工作纳入子公司年度绩效考核，确保长效监管落到实处。</w:t>
      </w:r>
    </w:p>
    <w:p w14:paraId="365C319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10. 关于“落实主体责任有差距”问题的整改。</w:t>
      </w:r>
    </w:p>
    <w:p w14:paraId="60F0580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（1）2026年3月，制定2026年度党建工作计划及责任清单，并严格按计划开展党建工作、压实管党治党责任。</w:t>
      </w:r>
    </w:p>
    <w:p w14:paraId="7BF7E71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通过深化专项检查与纪律建议相合，2025年10月28日，公司纪委对资管公司下发了纪律检查建议书，2025年11月25日，对康居公司下发了纪律检查建议书；要求两家责任单位举一反三查找问题，制定整改方案，建立相关流程制度。截止2026年2月，两家责任单位均已完成整改。</w:t>
      </w:r>
    </w:p>
    <w:p w14:paraId="1A3ED84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（3）将纪律教育纳入党委理论中心组学习及支部学习重要内容，2026年2月，将康居公司3名外借员工违纪受处分作为民主生活会典型案例进行深入剖析，后期将运用警示教育大会等形式常态化开展党纪教育。</w:t>
      </w:r>
    </w:p>
    <w:p w14:paraId="1B55ADA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11.关于“廉政风险防控措施不到位”问题的整改。</w:t>
      </w:r>
    </w:p>
    <w:p w14:paraId="28AC941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（1）截止2025年12月，公司纪委推动制定了覆盖所有部门及子公司的《廉政风险防控手册》，系统梳理关键业务环节的风险点，明确了差异化、具体化的防控措施与责任主体。</w:t>
      </w:r>
    </w:p>
    <w:p w14:paraId="5AA3F23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（2）通过将党风廉政建设纳入月度计划，已推动各部门及子公司建立廉政风险台账，实现月度履责全覆盖，初步形成“明责、履责、评责、问责”闭环管理机制。</w:t>
      </w:r>
    </w:p>
    <w:p w14:paraId="7450E53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（3）公司纪委每月常态化列席“三重一大”决策会议并加强会后督查，定期对多项重点决策事项开展过程监督，大幅提升实现重大事项决策执行规范度和风险防控效率。</w:t>
      </w:r>
    </w:p>
    <w:p w14:paraId="432D451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12.关于“监督执纪合力不强”问题的整改。</w:t>
      </w:r>
    </w:p>
    <w:p w14:paraId="5426F6E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（1）构建基层纪检联络员网络，已在7个部门及5个子公司配备12名兼职纪检工作人员，实现关键领域监督网络全覆盖。</w:t>
      </w:r>
    </w:p>
    <w:p w14:paraId="431E486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（2）2025年12月底前已完成廉洁风险点排查，系统梳理并形成了权责清晰的“权力清单”与行为规范的“负面清单”，通过清单化管理，实现了廉洁风险的精准识别与分级管控。</w:t>
      </w:r>
    </w:p>
    <w:p w14:paraId="4C4A5E1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（3）运用“第一种形态”开展批评教育、提醒谈话、约谈函询等履行监督责任工作，2025年度共运用第一种形态10人次。</w:t>
      </w:r>
    </w:p>
    <w:p w14:paraId="08F485B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13.关于“康居公司招投标不规范”问题的整改。</w:t>
      </w:r>
    </w:p>
    <w:p w14:paraId="0EA7267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（1）经审查，2025年10月23日对责任人下发处分决定书，给予党内警告处分决定，2025年10月23日，在支部大会上进行宣读，并对3名项目相关人员运用第一种形态。</w:t>
      </w:r>
    </w:p>
    <w:p w14:paraId="3F8D60B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完善招标采购制度，2025年10月重新修订《泰州国控投资集团有限公司招标管理办法》《泰州国控投资集团有限公司零星项目招标实施细则》，对与《中华人民共和国招标投标法》相悖的相关内容进行修改；严格邀请招标方式使用，对邀请推荐单位设定专门审批表格，明确推荐部门，落实责任担当。</w:t>
      </w:r>
    </w:p>
    <w:p w14:paraId="174C06F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（3）2025年5月、2026年3月，对相关岗位人员开展招投标相关法律法规培训2次，进行制度宣贯与责任强化，进一步提升法律意识、合规意识和业务能力。</w:t>
      </w:r>
    </w:p>
    <w:p w14:paraId="0B133F8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（4）2025年6月27日，建立并畅通了以举报电话、专用信箱为核心的监督举报渠道，通过内部工作群公告、官方网站等多种途径，宣传举报方式与受理流程，确保信息的有效传达。</w:t>
      </w:r>
    </w:p>
    <w:p w14:paraId="58EB314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14.关于“违规设立小金库”问题的整改。</w:t>
      </w:r>
    </w:p>
    <w:p w14:paraId="0B32099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（1）2024年度分别扣减经办人、负责人部分年度绩效。2025年10月针对此事项开展警示教育，深刻汲取教训，杜绝此类情况再次发生。</w:t>
      </w:r>
    </w:p>
    <w:p w14:paraId="5BA6982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（2）2022年暂停使用原薪酬制度，2025年重新制定薪酬制度，从源头制止奖金的提取，防止设立小金库。</w:t>
      </w:r>
    </w:p>
    <w:p w14:paraId="70C7B6D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（3）2025年10月、11月分别开展《中国共产党纪律处分条例》、薪酬制度、绩效考核制度等学习，进一步强化廉洁纪律意识。</w:t>
      </w:r>
    </w:p>
    <w:p w14:paraId="6362023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15.关于“银行资金对账、记账不及时”问题的整改。</w:t>
      </w:r>
    </w:p>
    <w:p w14:paraId="6090E0A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已将受限保证金账户及定期存单核对工作纳入日常管理，自2025年10月起，按月将银行凭证与账面数据逐一核对，并形成银行余额和其他货币资金余额调节表。截至2026年4月，已连续完成7次月度核对，核对工作常态化，确保资金账实相符、管控到位；2025年9月记15号对信诚公司未入账流水进行补记。</w:t>
      </w:r>
    </w:p>
    <w:p w14:paraId="6CE89C9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（2）2025年10月，完成制定《银行存款与其他货币资金对账操作规程》，明确对账范围、对账方式、对账频次等，规范对账操作。</w:t>
      </w:r>
    </w:p>
    <w:p w14:paraId="5CFCB86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i w:val="0"/>
          <w:iCs w:val="0"/>
          <w:color w:val="000000"/>
          <w:kern w:val="0"/>
          <w:sz w:val="32"/>
          <w:szCs w:val="32"/>
          <w:u w:val="none"/>
          <w:lang w:val="en-US" w:eastAsia="zh-CN" w:bidi="ar"/>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i w:val="0"/>
          <w:iCs w:val="0"/>
          <w:color w:val="000000"/>
          <w:kern w:val="0"/>
          <w:sz w:val="32"/>
          <w:szCs w:val="32"/>
          <w:u w:val="none"/>
          <w:lang w:val="en-US" w:eastAsia="zh-CN" w:bidi="ar"/>
        </w:rPr>
        <w:t>严格依据《银行存款及其他货币资金对账操作规程》，常态化开展对账核查工作。2026年1月、4月组织完成2 次交叉互查，对账结果均签字确认；部门负责人同步对互查结果开展复核抽检，核查结果准确无误。</w:t>
      </w:r>
    </w:p>
    <w:p w14:paraId="175092D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16.关于“资产租赁管理制度缺失”问题的整改。</w:t>
      </w:r>
    </w:p>
    <w:p w14:paraId="2ACF0FD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严格执行《医药高新区（高港区）国有企业标准厂房租赁管理办法（试行）》（泰高新政〔2025〕18号）、《医药高新区（高港区）企业国有资产出租管理办法（试行）》（泰高新国资办〔2025〕11号）等文件，2025年8月9日，制定《泰州华信药业投资有限公司房屋类资产运营管理细则（试行）》。</w:t>
      </w:r>
    </w:p>
    <w:p w14:paraId="6C0DAA1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（2）2025年12月19日，组织相关岗位人员学习资产管理制度文件，并根据资产类别，严格落实资产租赁流程，做好资产租赁审批、合同签订、费用收取、日常巡查、安全管理等工作。</w:t>
      </w:r>
    </w:p>
    <w:p w14:paraId="0687FB1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17.关于“固定资产管理不到位”问题的整改。</w:t>
      </w:r>
    </w:p>
    <w:p w14:paraId="208F2C2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2024年11月，制定资产网格化管理机制，各资产项目明确网格专员，由专人负责梳理资产状况，自问题整改后，每周进行一次巡查；2025年4月9日，完成1户出租房非法占用的清退工作，2025年6月15日，与新租户签订租赁协议。</w:t>
      </w:r>
    </w:p>
    <w:p w14:paraId="29C82B1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（2）建立固定资产信息化管理系统，加强对固定资产的日常盘点、清查，形成固定资产管理台账。形成水罐消防车的使用考核机制，于2025年5月13日、2025年12月12日按托管协议要求对车辆使用情况进行考核。</w:t>
      </w:r>
    </w:p>
    <w:p w14:paraId="29E06E2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10月28日，组织固定资产管理相关人员开展专项学习，重点学习财政部发布的《关于行政事业单位固定资产管理的通知》（财资〔2020〕97号）等文件，强化日常操作流程及盘点核查规范，提升管理意识与实操能力。</w:t>
      </w:r>
    </w:p>
    <w:p w14:paraId="7BB6C5B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18.关于“超标准商务接待”问题的整改。</w:t>
      </w:r>
    </w:p>
    <w:p w14:paraId="1FDAB46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对2名责任人处以扣除2023年度部分绩效、1名责任人处以扣除2024年度部分绩效的经济处罚；2025年12月，对公司负责人及关键岗位员工全面开展廉政谈话，实现重点人群全覆盖。谈话坚持“抓早抓小、防微杜渐”原则，结合岗位特点与廉洁风险点，进行针对性提醒与警示。</w:t>
      </w:r>
    </w:p>
    <w:p w14:paraId="657F401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（2）2025年8月29日，制发《泰州国控投资集团有限公司商务接待管理办法》，截至目前未发生违规接待行为。</w:t>
      </w:r>
    </w:p>
    <w:p w14:paraId="1ABF02A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（3）2025年12月，组织学习《国投集团商务接待管理办法》《党政机关国内公务接待管理规定》《国有企业领导人员廉洁从业若干规定》等制度，并严格按要求开展各项接待工作。</w:t>
      </w:r>
    </w:p>
    <w:p w14:paraId="2AF1C73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19.关于“违规收受物品”问题的整改。</w:t>
      </w:r>
    </w:p>
    <w:p w14:paraId="41600E5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（1）对2名责任人处以扣除2024年度部分绩效的经济处罚，2名责任人处以扣除2024年度部分绩效的经济处罚 ；2025年12月，对公司负责人及关键岗位员工全面开展廉政谈话，实现重点人群全覆盖。谈话坚持“抓早抓小、防微杜渐”原则，结合岗位特点与廉洁风险点，进行针对性提醒与警示。</w:t>
      </w:r>
    </w:p>
    <w:p w14:paraId="3F1C9DE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构建并落实廉洁教育常态化机制，将廉洁教育内容融入“三会一课”、主题党日等组织生活，同时，紧盯重大节假日等关键节点，通过公司官网、工作群等渠道常态化发布廉洁提醒，重申纪律要求，将违反中央八项规定精神问题列为监督检查重点，纳入了2026年党风廉政工作计划。</w:t>
      </w:r>
    </w:p>
    <w:p w14:paraId="5AB6BB2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（3）2025年6月27日，建立并畅通了以举报电话、专用信箱为核心的监督举报渠道，并通过内部工作群公告、官方网站等多种途径，宣传举报方式与受理流程，确保信息的有效传达。</w:t>
      </w:r>
    </w:p>
    <w:p w14:paraId="1332C3D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20.关于“存在不作为、慢作为现象”问题的整改。</w:t>
      </w:r>
    </w:p>
    <w:p w14:paraId="4CAABEA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2025年1月，对电费收缴事项责任人处以扣除2024年度部分绩效的经济处罚；2025年3月5日，康居公司组织项目管理人员开展《工程建设领域警示教育会》；每周例会时常态化开展警示教育会等教育引导工作，全体人员责任担当意识显著增强，合规履职自觉性有效提升。</w:t>
      </w:r>
    </w:p>
    <w:p w14:paraId="0822E1E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针对科创中心项目设计费争议，2024年4月7日公司主动与设计单位协商，并形成商谈记录；2024年4月28日上会，并严格遵守公司“三重一大”决策部署，根据董事会决议要求签订补充协议，后完成支付工作，目前已完成遗留问题处置工作。</w:t>
      </w:r>
    </w:p>
    <w:p w14:paraId="1B2CDBB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（3）2024年11月28日，收缴康居东苑门面房电费21.49万元。2024年11月，形成资产网格化管理机制，各资产片区有明确的网格专员，负责对接、督促能耗费收取工作。</w:t>
      </w:r>
    </w:p>
    <w:p w14:paraId="74B137D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（4）2025年3月，修订《华信公司季度（年度）绩效考核实施细则（修订版）》，将因项目管理不到位、监督执纪不尽责等原因导致的项目进度滞后、工程质量不过关等问题纳入绩效考核管理办法，并严格执行。</w:t>
      </w:r>
    </w:p>
    <w:p w14:paraId="563B3EC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21.关于“不正确履行职责”问题的整改。</w:t>
      </w:r>
    </w:p>
    <w:p w14:paraId="393B9BA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（1）2025年3月5日，康居公司组织项目管理人员召开工程建设领域警示教育会；对责任人处以扣除2023年度部分绩效的经济处罚。</w:t>
      </w:r>
    </w:p>
    <w:p w14:paraId="06654FB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质量监管机制持续完善，过程管控力度显著加强。公司产业发展部牵头，康居公司质量安全督查小组配合，2025年通过现场查看等方式进行质量常态化检查累计次数40余次。主要围绕对各项目参建单位的质量行为、各项目关键岗位的履职情况、工程施工实体质量情况、工程施工使用材料情况、工程内业资料及监理资料真实性等方面，开具《质量问题限期整改通知书》30份，实现质量管控对项目建设全过程的有效覆盖，项目建设质量保障能力得到切实提升。</w:t>
      </w:r>
    </w:p>
    <w:p w14:paraId="6700003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（3）2025年3月，修订《华信公司季度(年度)绩效考核实施细则(修订版)》，将因项目管理不到位、监督执纪不尽责等原因导致的项目进度滞后、工程质量不过关等问题纳入绩效考核管理办法，并严格执行。</w:t>
      </w:r>
    </w:p>
    <w:p w14:paraId="0383D87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22.关于“决策执行走样”问题的整改。</w:t>
      </w:r>
    </w:p>
    <w:p w14:paraId="02C13AC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集团纪委对大工业电表事项立案调查，2025年9月16日给予责任人党内警告处分，并对其他3名相关人员运用第一种形态。2025年3月5日，康居公司组织项目管理人员召开工程建设领域警示教育会，强化责任担当、项目管理环节合规把控、全员履职尽责意识，为项目平稳推进筑牢纪律与责任防线。</w:t>
      </w:r>
    </w:p>
    <w:p w14:paraId="60AAA5C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持续强化概算预算审核管理及合同审批流程，彻底杜绝“先施工后签约”违规行为。2026年3月5日，康居公司组织项目管理人员学习《泰州华信药业投资有限公司、泰州医药高新技术产业投资发展有限公司工程建设变更签证管理暂行办法》；2025年12月19日，资管公司开展规章制度专项培训，全员合规意识与制度执行能力显著提升，项目立项、建设、履约等全流程管理的合规性、规范性得到全面保障。</w:t>
      </w:r>
    </w:p>
    <w:p w14:paraId="3D1FA1D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（3）督促各子公司开展“三重一大”相关制度学习，2025年12月17日，发布《关于进一步规范公司党委会、董事会上会议题申报工作的通知》，加强对上会议题的审核力度。</w:t>
      </w:r>
    </w:p>
    <w:p w14:paraId="76688DB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23.关于“党员管理工作不严实”问题的整改。</w:t>
      </w:r>
    </w:p>
    <w:p w14:paraId="6454763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（1）2026年2月，组织三个支部就党员发展全过程开展学习培训，并严格履行党员发展程序，确保程序合规，材料齐全，杜绝代笔、材料抄袭等违规情况的发生。</w:t>
      </w:r>
    </w:p>
    <w:p w14:paraId="605F544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（2）2026年2月，各支部均严格按照民主评议党员程序，规范2025年度民主评议过程及要求填报各类表单。</w:t>
      </w:r>
    </w:p>
    <w:p w14:paraId="2FE8216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（3）在每月主题党日等党员学习活动中增加不定期“案例研讨”“心得分享”环节，提升理论学习深度，并通过将“月晒季评”结果与年终评优评先挂钩提升学习培训积极性、主动性。</w:t>
      </w:r>
    </w:p>
    <w:p w14:paraId="12B371B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24.关于“执行干部选拔任用有关规定不到位”问题的整改。</w:t>
      </w:r>
    </w:p>
    <w:p w14:paraId="4EFCD84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（1）严格履行干部选拔任用程序，按要求规范做好干部任前公示。</w:t>
      </w:r>
    </w:p>
    <w:p w14:paraId="38C5564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（2）2025年10月，组织相关人员学习上级部门干部选拔相关文件，确保干部选拔任用程序标准规范。</w:t>
      </w:r>
    </w:p>
    <w:p w14:paraId="5AB79A2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（3）严格按照相关文件规定，做好干部任前谈话等相关工作；自巡察以来未有新提拔干部。</w:t>
      </w:r>
    </w:p>
    <w:p w14:paraId="4033E16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25.关于“干部基础工作不扎实”问题的整改。</w:t>
      </w:r>
    </w:p>
    <w:p w14:paraId="5DD646F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（1）完成档案基础情况摸排等工作，并按计划推动归档规范、目录更新等措施落地。</w:t>
      </w:r>
    </w:p>
    <w:p w14:paraId="4D02CB7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（2）2025年12月，制定人事档案归档流程，并严格遵照执行。</w:t>
      </w:r>
    </w:p>
    <w:p w14:paraId="39B0BCE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（3）补充完善档案材料目录，并已形成对重要材料(如学历、职称、任免审批表)双人复核工作机制。</w:t>
      </w:r>
    </w:p>
    <w:p w14:paraId="03A8EAE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（二）按计划持续推进的整改事项</w:t>
      </w:r>
    </w:p>
    <w:p w14:paraId="38DE56E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 关于“资产闲置率高”问题的整改。</w:t>
      </w:r>
    </w:p>
    <w:p w14:paraId="68E9F00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（1）2025年12月26日，组织学习国资、园区、公司关于资产租赁管理的相关文件，并督促按照文件精神，规范履行租赁审批、费用收缴、安全管理、退租清场等程序。</w:t>
      </w:r>
    </w:p>
    <w:p w14:paraId="4D72D7C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委托并督促华融公司加强对企服务，营商环境有效提升；委托康居公司实施资产零星维修及代建，资产维修维护效率和质量进一步提高；加强与医药园区联动沟通，2024年9月至2025年12月期间，已诉讼长期欠费企27户，意向诉讼企业34户，已清理“僵尸”企业19户，已解决无合同占用企业有关事项16件。</w:t>
      </w:r>
    </w:p>
    <w:p w14:paraId="65F65DA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台账已进一步健全；加强对“僵尸”企业、无合同占用企业的预警，及时发现并提前处置相关问题，避免相关问题的产生和积压；2026年1月通过设立委托协议条款及每日对接管理，加强对华融公司服务工作的监督；每月初更新台账，关注企业缴费、欠费情况，按照租赁合同进行书面催缴。</w:t>
      </w:r>
    </w:p>
    <w:p w14:paraId="1675936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w w:val="99"/>
          <w:sz w:val="32"/>
          <w:szCs w:val="32"/>
          <w:lang w:val="en-US" w:eastAsia="zh-CN"/>
        </w:rPr>
      </w:pPr>
      <w:r>
        <w:rPr>
          <w:rFonts w:hint="default" w:ascii="Times New Roman" w:hAnsi="Times New Roman" w:eastAsia="仿宋_GB2312" w:cs="Times New Roman"/>
          <w:b/>
          <w:bCs/>
          <w:sz w:val="32"/>
          <w:szCs w:val="32"/>
          <w:lang w:val="en-US" w:eastAsia="zh-CN"/>
        </w:rPr>
        <w:t xml:space="preserve">2. </w:t>
      </w:r>
      <w:r>
        <w:rPr>
          <w:rFonts w:hint="default" w:ascii="Times New Roman" w:hAnsi="Times New Roman" w:eastAsia="仿宋_GB2312" w:cs="Times New Roman"/>
          <w:b/>
          <w:bCs/>
          <w:w w:val="99"/>
          <w:sz w:val="32"/>
          <w:szCs w:val="32"/>
          <w:lang w:val="en-US" w:eastAsia="zh-CN"/>
        </w:rPr>
        <w:t>关于“出租资产租金收取率低”问题的整改。</w:t>
      </w:r>
    </w:p>
    <w:p w14:paraId="7D8F176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2025年12月26日，组织学习国资、园区、公司关于资产租赁管理、运营管理的相关文件，严格执行国资部门及公司的相关文件，注意做好租赁协议审批签订、租金定期开票收取、入园企业租赁及欠费情况台账等；对华融公司进行授权，督促推进部分企业法律诉讼程序，及时清缴、处置欠费企业情况。</w:t>
      </w:r>
    </w:p>
    <w:p w14:paraId="5C6768A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（2）2026年1月，签署资产委托管理协议、单个资产委托物业服务协议，针对资产项目运营、</w:t>
      </w:r>
      <w:r>
        <w:rPr>
          <w:rFonts w:hint="default" w:ascii="Times New Roman" w:hAnsi="Times New Roman" w:eastAsia="仿宋_GB2312" w:cs="Times New Roman"/>
          <w:b w:val="0"/>
          <w:bCs w:val="0"/>
          <w:color w:val="auto"/>
          <w:w w:val="99"/>
          <w:sz w:val="32"/>
          <w:szCs w:val="32"/>
          <w:lang w:val="en-US" w:eastAsia="zh-CN"/>
        </w:rPr>
        <w:t>费用收缴、陈欠租金追</w:t>
      </w:r>
      <w:r>
        <w:rPr>
          <w:rFonts w:hint="default" w:ascii="Times New Roman" w:hAnsi="Times New Roman" w:eastAsia="仿宋_GB2312" w:cs="Times New Roman"/>
          <w:sz w:val="32"/>
          <w:szCs w:val="32"/>
          <w:lang w:val="en-US" w:eastAsia="zh-CN"/>
        </w:rPr>
        <w:t>缴等设立考核奖惩条款；督促华融公司做好每月5-6家对企走访、书面催收、律师函等。</w:t>
      </w:r>
    </w:p>
    <w:p w14:paraId="6BD2E1A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sz w:val="32"/>
          <w:szCs w:val="32"/>
          <w:lang w:val="en-US" w:eastAsia="zh-CN"/>
        </w:rPr>
        <w:t>（3）2024年9月至2025年12月期间，已诉讼长期欠费企27户，意向诉讼企业34户，已清理“僵尸”企业19户，已解决无合同占用企业有关事项16件。</w:t>
      </w:r>
    </w:p>
    <w:p w14:paraId="13C0322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 关于“市场化经营项目运营不佳”问题的整改。</w:t>
      </w:r>
    </w:p>
    <w:p w14:paraId="3A6EACB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2025年3月制作完成国投优质资产推广ppt、国投优质资产推介手册、国投优质资产推介视频；2025年4月参加杭州招商推介会，重点推介天禄湖大酒店项目；2025年5月-12月带领华住集团、涵田集团、文旅集团、锦江之星等头部酒店运营方实地考察现场，并进一步洽谈。</w:t>
      </w:r>
    </w:p>
    <w:p w14:paraId="0879178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深化物业合作联动，2026年1月18日联合物业公司，面向业主开展迎新年主题活动，邀约新客户15组，其中意向客户2组。置业顾问常态化营销宣传：每周开展2场抖音直播推介项目，每周拍摄1条项目推介视频，同步投放抖音及朋友圈推广。</w:t>
      </w:r>
    </w:p>
    <w:p w14:paraId="29AD9BF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（3）建立了征信前置审核机制，2025年11月完成购房意向书制定，以意向书签订为抓手，引导客户自行确认征信； 2025年11月及2026年2月针对《商品房买卖合同》退房条款组织销售专项培训，目前退房相关问题已全部整改到位，并建立长效执行机制。</w:t>
      </w:r>
    </w:p>
    <w:p w14:paraId="7AFCC44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 关于“运营管理不到位，产生较大应收账款”问题的整改。</w:t>
      </w:r>
    </w:p>
    <w:p w14:paraId="3F498CD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（1）已根据账龄、债务人资信及回收难度等全面梳理评估应收账款，制定专人上门、电话催收等方案；2025年12月至2026年3月已经催收2603万元，催收压降工作持续推进。</w:t>
      </w:r>
    </w:p>
    <w:p w14:paraId="29F0AD2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sz w:val="32"/>
          <w:szCs w:val="32"/>
          <w:lang w:val="en-US" w:eastAsia="zh-CN"/>
        </w:rPr>
        <w:t>（2）对长期拖欠、经多次催收仍难以收回的款项提起法律诉讼。已对4家公司启动法律诉讼程序，截止2026年4月，出具民事调解书3份、民事裁定书1份，收回资金1584万元。</w:t>
      </w:r>
    </w:p>
    <w:p w14:paraId="40E45D4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5. 关于“法人治理结构不健全”问题的整改。</w:t>
      </w:r>
    </w:p>
    <w:p w14:paraId="35DB7C8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sz w:val="32"/>
          <w:szCs w:val="32"/>
        </w:rPr>
        <w:t>2025年12月，完成《国投集团（华信公司）“三定方案”》制定，系统梳理并确定必须设立的核心职能部门，同步明确各部门的职能划分。</w:t>
      </w:r>
    </w:p>
    <w:p w14:paraId="4EF13CA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sz w:val="32"/>
          <w:szCs w:val="32"/>
          <w:lang w:eastAsia="zh-CN"/>
        </w:rPr>
        <w:t>2025年1月20日，完成《国投集团董事会向经理层授权管理办法》。</w:t>
      </w:r>
    </w:p>
    <w:p w14:paraId="2D29660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 关于“现代企业制度不够完善”问题的整改。</w:t>
      </w:r>
    </w:p>
    <w:p w14:paraId="33D3CFA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（1）7家子公司已于2021年度制定各子公司《董事会议事规则》《董事会向经理层授权管理制度》，2025年12月发布《规范董事会上会议题申报工作通知》等核心制度已正式发文，并按要求严格执行。</w:t>
      </w:r>
    </w:p>
    <w:p w14:paraId="5B9E9CB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为科学谋划，统筹布局，集团组织编写“十五五”战略发展规划，规划涵盖集团各子公司及各业务板块，明确做强医药康养为核心的医药康养板块、稳固基础设施与城市商业运营板块，为未来可持续发展筑牢根基。2025年12月10日、2026年1月16日先后完成“十五五”战略发展规划意见征求和专家评审。</w:t>
      </w:r>
    </w:p>
    <w:p w14:paraId="54C6C49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sz w:val="32"/>
          <w:szCs w:val="32"/>
        </w:rPr>
        <w:t>5家子公司已按照要求，于2022年全面推行经理层成员任期制和契约化管理，制定了任期、年度目标责任书。</w:t>
      </w:r>
    </w:p>
    <w:p w14:paraId="4D97D60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7. 关于“集团管控权责不清”问题的整改。</w:t>
      </w:r>
    </w:p>
    <w:p w14:paraId="16C58BC3">
      <w:pPr>
        <w:pStyle w:val="2"/>
        <w:keepNext w:val="0"/>
        <w:keepLines w:val="0"/>
        <w:pageBreakBefore w:val="0"/>
        <w:widowControl w:val="0"/>
        <w:kinsoku/>
        <w:wordWrap/>
        <w:overflowPunct/>
        <w:topLinePunct w:val="0"/>
        <w:bidi w:val="0"/>
        <w:spacing w:line="560" w:lineRule="exact"/>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对集团所属子公司控股不控权收集整理相关决策文件，对参股企业在协议或章程中明确集团出资企业权利和委派人员约定</w:t>
      </w:r>
      <w:r>
        <w:rPr>
          <w:rFonts w:hint="default" w:ascii="Times New Roman" w:hAnsi="Times New Roman" w:eastAsia="仿宋_GB2312" w:cs="Times New Roman"/>
          <w:sz w:val="32"/>
          <w:szCs w:val="32"/>
          <w:lang w:eastAsia="zh-CN"/>
        </w:rPr>
        <w:t>。</w:t>
      </w:r>
    </w:p>
    <w:p w14:paraId="0F8BF1AD">
      <w:pPr>
        <w:pStyle w:val="2"/>
        <w:keepNext w:val="0"/>
        <w:keepLines w:val="0"/>
        <w:pageBreakBefore w:val="0"/>
        <w:widowControl w:val="0"/>
        <w:kinsoku/>
        <w:wordWrap/>
        <w:overflowPunct/>
        <w:topLinePunct w:val="0"/>
        <w:bidi w:val="0"/>
        <w:spacing w:line="560" w:lineRule="exact"/>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向双兴建设委派董事2名，监事1名，董事长及法人代表由华信公司人员担任。</w:t>
      </w:r>
    </w:p>
    <w:p w14:paraId="386C737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8.关于“项目实施过程管控不到位”问题的整改。</w:t>
      </w:r>
    </w:p>
    <w:p w14:paraId="7B5451E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通过严格执行公司招投标管理办法，所有项目发包前均引入第三方机构完成预算审核，从源头杜绝了高估冒算等行为；项目开工前严格依法办理施工许可证或完成非受监备案，确保建设程序合法合规，彻底杜绝未批先建等违规风险；在施工过程中，通过全面落实变更签证管理制度，强化了对工程变更的审核与管控，提升全员的合规意识和成本控制能力。</w:t>
      </w:r>
    </w:p>
    <w:p w14:paraId="7717FFF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定期对项目预算文件、施工许可证等关键资料开展系统性核查，确保项目审批手续齐全完备、合法有效,对在建项目实现事中事后监管、巡查全覆盖；通过不定期随机专项抽查，重点核查项目变更、签证等事项决策审批程序执行情况，有效防范项目实施过程中的异常行为，从源头规范项目管理流程；同时将检查、抽查结果全面纳入绩效考核体系，对发现的违规问题及时开展问责处置并督促限期整改，形成全链条管理闭环，项目全过程监管的规范性和有效性得到切实增强。</w:t>
      </w:r>
    </w:p>
    <w:p w14:paraId="2E4A610E">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2026年3月19日，组织康居公司、华盛公司、资管公司、华康公司15名工程项目专职管理人员学习《建筑法》、《关于进一步加强限额以下小型建设工程安全生产监管工作的通知》、《泰州市建设工程规划审批豁免清单》、《建筑工程施工许可管理办法》等规定文件，对工此项目办理前期施工许可要求和办理条件进行解读。后期将结合各工程项目的情况按照相关要求长期持续过程管理。</w:t>
      </w:r>
    </w:p>
    <w:p w14:paraId="45AF6EF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9.关于“限额以下项目乱象频发”问题的整改。</w:t>
      </w:r>
    </w:p>
    <w:p w14:paraId="1FF13FA4">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在实际工作中，通过企查查对参与投标单位股东信息及不良行为进行核查，对委托代理人及开标现场代表要求提供社保证明；完善劳务服务单位招标内容，形成严格的考核考勤管理制度；制定对绿化劳务单位的考核管理制度。</w:t>
      </w:r>
    </w:p>
    <w:p w14:paraId="41B83BF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完善招标采购、物业管理、劳务用工制度体系，2025年10月，重新修订并出台了《泰州国控投资集团有限公司招标管理办法》《泰州国控投资集团有限公司零星项目招标实施细则》；2026年1月，建立物业管理体系，明确管理职责并形成制度手册；2026年4月，制定《泰州华康投资有限公司劳务用工管理办法》。</w:t>
      </w:r>
    </w:p>
    <w:p w14:paraId="4BD82D3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进行制度宣贯与责任强化，进一步提升法律意识、合规意识和业务能力，2025年5月、2026年3月对相关岗位人员开展招投标相关法律法规培训2次；2025年10月-2026年3月，在物业各小区组织内部培训及学习4次；2026年4月，组织各劳务用工单位学习华康公司绿化劳务考核办法。</w:t>
      </w:r>
    </w:p>
    <w:p w14:paraId="42AE0242">
      <w:pPr>
        <w:pStyle w:val="2"/>
        <w:keepNext w:val="0"/>
        <w:keepLines w:val="0"/>
        <w:pageBreakBefore w:val="0"/>
        <w:widowControl w:val="0"/>
        <w:kinsoku/>
        <w:wordWrap/>
        <w:overflowPunct/>
        <w:topLinePunct w:val="0"/>
        <w:bidi w:val="0"/>
        <w:spacing w:line="560" w:lineRule="exact"/>
        <w:jc w:val="both"/>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sz w:val="32"/>
          <w:szCs w:val="32"/>
          <w:lang w:val="en-US" w:eastAsia="zh-CN"/>
        </w:rPr>
        <w:t>（4）2025年6月27日，建立并畅通了以举报电话、专用信箱为核心的监督举报渠道，并通过内部工作群公告、官方网站等多种途径，宣传举报方式与受理流程，确保信息的有效传达。</w:t>
      </w:r>
    </w:p>
    <w:p w14:paraId="5A67F20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10.关于“‘三公经费’使用不规范”问题的整改。</w:t>
      </w:r>
    </w:p>
    <w:p w14:paraId="5C65ABB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（1）严格执行《关于印发市直行政事业单位出租车客运服务框架协议入围供应商的通知》，规范办理车辆租用手续。</w:t>
      </w:r>
    </w:p>
    <w:p w14:paraId="0F30B4E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（2）严格执行在入围价的基础上与入围商进行二次议价，租车前及时签订租车协议，严格实行"一事一租"管理。</w:t>
      </w:r>
    </w:p>
    <w:p w14:paraId="3A551C5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（3）2025年8月29日，制发《泰州国控投资集团有限公司商务接待管理办法》，规范“三公”经费审核审批流程，截至目前未发生违规行为。</w:t>
      </w:r>
    </w:p>
    <w:p w14:paraId="685B699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11.关于“固定资产采购程序不合规”问题的整改。</w:t>
      </w:r>
    </w:p>
    <w:p w14:paraId="60630048">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2025年12月3日，康居公司对责任人进行谈话，并要求全员引以为戒。在后续工作中物资采购严格按照流程采购，申请、签收、入库、出库均按要求做好对账单的保管工作，定期核对单据，杜绝此类问题再次发生。</w:t>
      </w:r>
    </w:p>
    <w:p w14:paraId="4B1A01C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（2）2025年10月28日，组织学习《中华人民共和国招标投标法实施条例》、《泰州国控投资集团有限公司招投标管理办法》，并在今后的工作中严格执行。</w:t>
      </w:r>
    </w:p>
    <w:p w14:paraId="49A258A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（3）已在项目的招标文件中明确、细化采购需求和技术规格，并在招标文件审核会签流程中加入附件，供招投标领导小组审核。</w:t>
      </w:r>
    </w:p>
    <w:p w14:paraId="26BC5F51">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12.关于“超范围使用工会经费”问题的整改。</w:t>
      </w:r>
    </w:p>
    <w:p w14:paraId="2AACEAD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（1）2022年度重复领取的福利、2023年子女结婚发放的慰问，已于2025年10月分别退至华信工会账户。</w:t>
      </w:r>
    </w:p>
    <w:p w14:paraId="60F22B6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（2）2024年1月，修订《华信工会慰问制度》，对结婚慰问的条款予以调整；2025年10月，完善福利领取表格，杜绝同类问题再次发生。</w:t>
      </w:r>
    </w:p>
    <w:p w14:paraId="4C3BFFA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sz w:val="32"/>
          <w:szCs w:val="32"/>
          <w:lang w:val="en-US" w:eastAsia="zh-CN"/>
        </w:rPr>
        <w:t>（3）2025年10月28日，组织学习工会制度以及《中国共产党纪律处分条例》中关于违规发放津补贴的相关内容，强化责任意识，规范工会经费列支行为。</w:t>
      </w:r>
    </w:p>
    <w:p w14:paraId="724D06E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13.关于“重大事项未经集体决策”问题的整改。</w:t>
      </w:r>
    </w:p>
    <w:p w14:paraId="7555DC7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（1）通过专项整改，公司党委"前置研究"程序得到落实，重大经营管理事项决策机制更加规范完备。2025年度经党委会审查议题约320项。</w:t>
      </w:r>
    </w:p>
    <w:p w14:paraId="02AF375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（2）2024年12月，制发《国投集团“三重一大”决策制度实施办法》，明确三会决策范围及“三重一大”事项决策程序。</w:t>
      </w:r>
    </w:p>
    <w:p w14:paraId="4D25BFE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（3）公司纪委每月常态化列席“三重一大”决策会议并加强会后督查，定期对多项重点决策事项开展过程监督，大幅提升实现重大事项决策执行规范度和风险防控效率。</w:t>
      </w:r>
    </w:p>
    <w:p w14:paraId="309B93C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14.关于“决策依据不足”问题的整改。</w:t>
      </w:r>
    </w:p>
    <w:p w14:paraId="402D30D2">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完成相关情况的调查核实；2026年3月5日，组织项目管理人员召开工程建设领域警示教育会，并学习《泰州华信药业投资有限公司、泰州医药高新技术产业投资发展有限公司工程建设变更签证管理暂行办法》，“按制度办事、按程序决策”的合规意识和责任意识显著增强，从思想源头有效防范了同类风险发生。</w:t>
      </w:r>
    </w:p>
    <w:p w14:paraId="4714A44C">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2026年3月5日，组织项目管理人员学习《医药高新区（高港区)国有企业投资项目操作规程》《泰州医药高新区(高港区)关于政府投资工程建设全过程管理实施导则》，督促各所有工程项目的变更、签证严格按照规章制度执行。坚决杜绝以未确认文件作为费用支付依据的行为，从源头上防范因依据缺失、无效引发的成本管控风险，确保项目成本管理的得到有效管控。</w:t>
      </w:r>
    </w:p>
    <w:p w14:paraId="7B62A9C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（3）督促各子公司开展“三重一大”相关制度学习，2025年12月17日，发布《关于进一步规范公司党委会、董事会上会议题申报工作的通知》，加强对上会议题的审核力度。</w:t>
      </w:r>
    </w:p>
    <w:p w14:paraId="51B14C3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15. 关于“党建主责意识不够”问题的整改。</w:t>
      </w:r>
    </w:p>
    <w:p w14:paraId="43DC23CD">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（1）在党委书记指导下，2026年3月，结合公司2026面度重点工作计划制定2026年度党建工作计划。</w:t>
      </w:r>
    </w:p>
    <w:p w14:paraId="5612D6E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（2）截至目前已新增党建工作专职人员1名，并积极物色各党支部书记等后备力量人选，以提升党建工作整体效能。</w:t>
      </w:r>
    </w:p>
    <w:p w14:paraId="0DB40A6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sz w:val="32"/>
          <w:szCs w:val="32"/>
        </w:rPr>
        <w:t>国投集团已于2024年底取得上级批复成立党委，并按要求完成下属三个党支部设立及党员调整各项工作。</w:t>
      </w:r>
    </w:p>
    <w:p w14:paraId="5A049737">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16. 关于“党内政治生活不严格”问题的整改。</w:t>
      </w:r>
    </w:p>
    <w:p w14:paraId="4989D48B">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（1）按“三会一课”制度要求每月开展主题党日等各项学习活动，每年按规定程序规范组织召开组织生活会；国投公司三个支部调整到位后，均严格按要求规范使用会议记录本。</w:t>
      </w:r>
    </w:p>
    <w:p w14:paraId="6C6EDA2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（2）完善2023-2024年度民主生活会情况报告等相关材料；2026年2月，党委班子及成员严格按照上级印发的2025年度民主生活会相关通知要求起草对照检查材料，积极开展批评和自我批评，确保红脸出汗不走过场。</w:t>
      </w:r>
    </w:p>
    <w:p w14:paraId="7A04AB86">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（3）严格执行《谈心谈话制度》，根据区委组织部关于组织生活会工作要求，各支部已于2026年1月开展2025年度组织生活会会前谈心谈话。</w:t>
      </w:r>
    </w:p>
    <w:p w14:paraId="7E5B59F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sz w:val="32"/>
          <w:szCs w:val="32"/>
        </w:rPr>
        <w:t>2026年3月5日，按要求召开树立和践行正确政绩观学习教育专题部署会，制定工作方案，工作专班，并开展相关学习工作。</w:t>
      </w:r>
    </w:p>
    <w:p w14:paraId="482A94F5">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3" w:firstLineChars="200"/>
        <w:jc w:val="both"/>
        <w:textAlignment w:val="baseline"/>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17. 关于“整改措施落实不到位”问题的整改。</w:t>
      </w:r>
    </w:p>
    <w:p w14:paraId="55BE4773">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（1）将巡察整改任务纳入党委班子成员“一岗双责”责任范围，由班子成员牵头负责开展各项整改工作，确保各项整改任务责任到人，按实完成。</w:t>
      </w:r>
    </w:p>
    <w:p w14:paraId="115D9BA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（2）2025年10月，组织制定巡察整改方案，督促各部门、子公司主动认领问题，并明确整改措施、责任单位与时限；2025年12月起，建立“一题一档”整改工作台账，确保整改工作可跟踪、可追溯。其中：</w:t>
      </w:r>
    </w:p>
    <w:p w14:paraId="0C532490">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关于“房租收缴不及时、部分房产出租率低”等问题：公司全力抓实标准厂房陈欠租金清缴，建立欠费企业台账，联合华融公司常态化走访企业，通过函件催缴、协商还款、法律诉讼等方式分层管控欠租风险；主动对接医药园区，解决企业经营难题，落实厂房维修、消防整改等维保工作，优化营商环境，引导企业主动缴费；同时优化委托管理模式，细化项目协议，设定差异化追缴指标及考核机制，压实收缴责任，2025年累计实收陈欠租金4992万元；设立专职招商部门，全面摸排资产底数，明确盘活目标，制定年度盘活计划；依托政策支持，创新市场化合作模式，联动社会资本、专业运营商提升盘活质效；2024年以来，顺利完成保租房及人才公寓、商业综合体等项目合作运营，新增盘活面积42.6万平方米；由于租赁合同到期、市场化合作调整等原因，房屋类资产在持续周期内会出现使用与闲置长期并存的情况，资产盘活利用属于持久性常态化工作，较难完全达成全面盘活。公司将不断加强资产招商出租，有效实现国有资产提质增效。</w:t>
      </w:r>
    </w:p>
    <w:p w14:paraId="55B8CDF9">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关于“意识形态工作不深入、发展党员工作不讲实际”等问题已完成整改。公司已成立意识形态工作领导小组，明确分管领导、组长及成员责任，并将意识形态工作责任制落实情况作为个人述职材料的重要组成部分，纳入民主生活会对照检查、述职评议、干部考核的重要内容；公司持续严格党员发展程序，强化材料审核把关力度，严把党员发展质量关，控制发展人数。</w:t>
      </w:r>
    </w:p>
    <w:p w14:paraId="51AD6B0A">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（3）2025年10月29日，印发国投集团巡察整改工作机制；各部门、各子公司已将整改工作纳入月度重点工作计划，督促完成整改工作，并按每月完成情况整理佐证材料。</w:t>
      </w:r>
    </w:p>
    <w:p w14:paraId="3CC443AF">
      <w:pPr>
        <w:keepNext w:val="0"/>
        <w:keepLines w:val="0"/>
        <w:pageBreakBefore w:val="0"/>
        <w:widowControl w:val="0"/>
        <w:kinsoku/>
        <w:wordWrap/>
        <w:overflowPunct/>
        <w:topLinePunct w:val="0"/>
        <w:autoSpaceDE w:val="0"/>
        <w:autoSpaceDN w:val="0"/>
        <w:bidi w:val="0"/>
        <w:adjustRightInd w:val="0"/>
        <w:snapToGrid w:val="0"/>
        <w:spacing w:line="560" w:lineRule="exact"/>
        <w:ind w:right="0" w:firstLine="640" w:firstLineChars="200"/>
        <w:jc w:val="both"/>
        <w:textAlignment w:val="baseline"/>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 下一步工作打算</w:t>
      </w:r>
    </w:p>
    <w:p w14:paraId="4F8B6020">
      <w:pPr>
        <w:keepNext w:val="0"/>
        <w:keepLines w:val="0"/>
        <w:pageBreakBefore w:val="0"/>
        <w:widowControl w:val="0"/>
        <w:kinsoku/>
        <w:wordWrap/>
        <w:overflowPunct/>
        <w:topLinePunct w:val="0"/>
        <w:autoSpaceDE/>
        <w:autoSpaceDN/>
        <w:bidi w:val="0"/>
        <w:adjustRightInd/>
        <w:snapToGrid w:val="0"/>
        <w:spacing w:line="560" w:lineRule="exact"/>
        <w:ind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巡察反馈意见集中整改工作已取得阶段性成效，但对照区委巡察要求和公司高质量发展目标，仍需持续用力、久久为功。下一步，公司党委将坚持目标不变、标准不降、力度不减，以“钉钉子”精神抓好后续整改工作，确保巡察整改成果经得起检验。</w:t>
      </w:r>
    </w:p>
    <w:p w14:paraId="571A6123">
      <w:pPr>
        <w:keepNext w:val="0"/>
        <w:keepLines w:val="0"/>
        <w:pageBreakBefore w:val="0"/>
        <w:widowControl w:val="0"/>
        <w:kinsoku/>
        <w:wordWrap/>
        <w:overflowPunct/>
        <w:topLinePunct w:val="0"/>
        <w:autoSpaceDE/>
        <w:autoSpaceDN/>
        <w:bidi w:val="0"/>
        <w:adjustRightInd/>
        <w:snapToGrid w:val="0"/>
        <w:spacing w:line="560" w:lineRule="exact"/>
        <w:ind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（一）持续压实整改责任，保持力度不松。 始终坚持把巡察整改作为重大政治任务抓紧抓实，坚决克服“交卷”思想和“过关”心态。领导班子带头履行“一岗双责”，对尚未彻底整改的问题紧盯不放，对已整改完成的事项定期“回头看”，逐项核查销号情况，坚决防止问题反弹回潮。对整改不力、敷衍塞责的，严肃追责问责，确保责任层层传导、压力级级落实。</w:t>
      </w:r>
    </w:p>
    <w:p w14:paraId="632E8F8F">
      <w:pPr>
        <w:keepNext w:val="0"/>
        <w:keepLines w:val="0"/>
        <w:pageBreakBefore w:val="0"/>
        <w:widowControl w:val="0"/>
        <w:kinsoku/>
        <w:wordWrap/>
        <w:overflowPunct/>
        <w:topLinePunct w:val="0"/>
        <w:autoSpaceDE/>
        <w:autoSpaceDN/>
        <w:bidi w:val="0"/>
        <w:adjustRightInd/>
        <w:snapToGrid w:val="0"/>
        <w:spacing w:line="560" w:lineRule="exact"/>
        <w:ind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（二）持续健全长效机制，深化标本兼治。 坚持“当下改”与“长久立”相结合，对集中整改期间修订完善的各项制度，加强宣贯培训和执行监督，确保制度落地生根、刚性运行。深入剖析问题产生的深层次原因，举一反三，从源头上堵塞管理漏洞，真正实现解决一个问题、完善一套制度、规范一个领域。将整改过程中形成的经验做法固化为常态化管理机制，构建起用制度管权、管事、管人的长效体系。</w:t>
      </w:r>
    </w:p>
    <w:p w14:paraId="67BCA6C2">
      <w:pPr>
        <w:keepNext w:val="0"/>
        <w:keepLines w:val="0"/>
        <w:pageBreakBefore w:val="0"/>
        <w:widowControl w:val="0"/>
        <w:kinsoku/>
        <w:wordWrap/>
        <w:overflowPunct/>
        <w:topLinePunct w:val="0"/>
        <w:autoSpaceDE/>
        <w:autoSpaceDN/>
        <w:bidi w:val="0"/>
        <w:adjustRightInd/>
        <w:snapToGrid w:val="0"/>
        <w:spacing w:line="560" w:lineRule="exact"/>
        <w:ind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（三）持续推动成果转化，赋能公司发展。 把巡察整改与公司中心工作深度融合，将整改成效体现到规范经营管理、防范化解风险、提升治理能力上。以巡察整改为契机，进一步优化决策流程、强化内控管理、规范关联交易、加强资产监管，切实将巡察整改成果转化为推动公司市场化转型、高质量发展的强大动力，为服务区域经济社会发展贡献更大力量。</w:t>
      </w:r>
    </w:p>
    <w:p w14:paraId="1F795D68">
      <w:pPr>
        <w:keepNext w:val="0"/>
        <w:keepLines w:val="0"/>
        <w:pageBreakBefore w:val="0"/>
        <w:widowControl w:val="0"/>
        <w:kinsoku/>
        <w:wordWrap/>
        <w:overflowPunct/>
        <w:topLinePunct w:val="0"/>
        <w:bidi w:val="0"/>
        <w:snapToGrid w:val="0"/>
        <w:spacing w:line="560" w:lineRule="exact"/>
        <w:ind w:right="0" w:firstLine="630"/>
        <w:jc w:val="both"/>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欢迎广大干部群众对巡察整改落实情况进行监督。如有意见建议，请及时向我们反映。联系方式：0523-86209009，邮政信箱：泰州市医药高新技术产业开发区华欣路1号高新写字楼23楼，电子邮箱：106188364@qq.com。</w:t>
      </w:r>
    </w:p>
    <w:p w14:paraId="44350F42">
      <w:pPr>
        <w:pStyle w:val="2"/>
        <w:keepNext w:val="0"/>
        <w:keepLines w:val="0"/>
        <w:pageBreakBefore w:val="0"/>
        <w:widowControl w:val="0"/>
        <w:kinsoku/>
        <w:wordWrap/>
        <w:topLinePunct w:val="0"/>
        <w:bidi w:val="0"/>
        <w:spacing w:line="560" w:lineRule="exact"/>
        <w:ind w:left="0" w:leftChars="0" w:firstLine="0" w:firstLineChars="0"/>
        <w:jc w:val="both"/>
        <w:outlineLvl w:val="9"/>
        <w:rPr>
          <w:rFonts w:hint="default" w:ascii="Times New Roman" w:hAnsi="Times New Roman" w:eastAsia="仿宋_GB2312" w:cs="Times New Roman"/>
          <w:sz w:val="32"/>
          <w:szCs w:val="32"/>
          <w:lang w:val="en-US" w:eastAsia="zh-CN"/>
        </w:rPr>
      </w:pPr>
    </w:p>
    <w:p w14:paraId="700C984D">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both"/>
        <w:textAlignment w:val="baseline"/>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 xml:space="preserve">                                  泰州国投集团</w:t>
      </w:r>
      <w:r>
        <w:rPr>
          <w:rFonts w:hint="default" w:ascii="Times New Roman" w:hAnsi="Times New Roman" w:eastAsia="仿宋_GB2312" w:cs="Times New Roman"/>
          <w:sz w:val="32"/>
          <w:szCs w:val="32"/>
        </w:rPr>
        <w:t xml:space="preserve">党委 </w:t>
      </w:r>
      <w:r>
        <w:rPr>
          <w:rFonts w:hint="default" w:ascii="Times New Roman" w:hAnsi="Times New Roman" w:eastAsia="仿宋_GB2312" w:cs="Times New Roman"/>
          <w:sz w:val="32"/>
          <w:szCs w:val="32"/>
          <w:lang w:val="en-US" w:eastAsia="zh-CN"/>
        </w:rPr>
        <w:t xml:space="preserve"> </w:t>
      </w:r>
    </w:p>
    <w:p w14:paraId="351D81C2">
      <w:pPr>
        <w:keepNext w:val="0"/>
        <w:keepLines w:val="0"/>
        <w:pageBreakBefore w:val="0"/>
        <w:widowControl w:val="0"/>
        <w:kinsoku/>
        <w:wordWrap/>
        <w:overflowPunct/>
        <w:topLinePunct w:val="0"/>
        <w:bidi w:val="0"/>
        <w:snapToGrid w:val="0"/>
        <w:spacing w:line="560" w:lineRule="exact"/>
        <w:ind w:right="0" w:firstLine="630"/>
        <w:jc w:val="both"/>
        <w:outlineLvl w:val="9"/>
        <w:rPr>
          <w:rFonts w:hint="default" w:ascii="Times New Roman" w:hAnsi="Times New Roman" w:cs="Times New Roman"/>
          <w:sz w:val="32"/>
          <w:szCs w:val="32"/>
          <w:lang w:val="en-US"/>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2026年5月27日</w:t>
      </w: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6A7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CFBEF">
                          <w:pPr>
                            <w:pStyle w:val="3"/>
                          </w:pPr>
                          <w:r>
                            <w:fldChar w:fldCharType="begin"/>
                          </w:r>
                          <w:r>
                            <w:instrText xml:space="preserve"> PAGE  \* MERGEFORMAT </w:instrText>
                          </w:r>
                          <w:r>
                            <w:fldChar w:fldCharType="separate"/>
                          </w:r>
                          <w:r>
                            <w:t>- 10 -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CCFBEF">
                    <w:pPr>
                      <w:pStyle w:val="3"/>
                    </w:pPr>
                    <w:r>
                      <w:fldChar w:fldCharType="begin"/>
                    </w:r>
                    <w:r>
                      <w:instrText xml:space="preserve"> PAGE  \* MERGEFORMAT </w:instrText>
                    </w:r>
                    <w:r>
                      <w:fldChar w:fldCharType="separate"/>
                    </w:r>
                    <w:r>
                      <w:t>- 10 -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9D7C0"/>
    <w:multiLevelType w:val="singleLevel"/>
    <w:tmpl w:val="1E19D7C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3E2EE1"/>
    <w:rsid w:val="00627E6B"/>
    <w:rsid w:val="00643BE3"/>
    <w:rsid w:val="0067722F"/>
    <w:rsid w:val="00AD558A"/>
    <w:rsid w:val="0135355E"/>
    <w:rsid w:val="019329D2"/>
    <w:rsid w:val="01F575BC"/>
    <w:rsid w:val="020E2058"/>
    <w:rsid w:val="0212454D"/>
    <w:rsid w:val="02F2736A"/>
    <w:rsid w:val="036119A3"/>
    <w:rsid w:val="03716546"/>
    <w:rsid w:val="037B4161"/>
    <w:rsid w:val="037C1244"/>
    <w:rsid w:val="03894AF3"/>
    <w:rsid w:val="03984C22"/>
    <w:rsid w:val="03B4721B"/>
    <w:rsid w:val="03F47E87"/>
    <w:rsid w:val="03F92EC5"/>
    <w:rsid w:val="041F679F"/>
    <w:rsid w:val="04463D2B"/>
    <w:rsid w:val="04A503C2"/>
    <w:rsid w:val="04B30B7F"/>
    <w:rsid w:val="053421E1"/>
    <w:rsid w:val="053E2C54"/>
    <w:rsid w:val="055C64B1"/>
    <w:rsid w:val="056D353A"/>
    <w:rsid w:val="057F779D"/>
    <w:rsid w:val="05B775DF"/>
    <w:rsid w:val="061757C7"/>
    <w:rsid w:val="06190EED"/>
    <w:rsid w:val="06235AB5"/>
    <w:rsid w:val="064A7911"/>
    <w:rsid w:val="067403A0"/>
    <w:rsid w:val="06852D72"/>
    <w:rsid w:val="06C54B78"/>
    <w:rsid w:val="07227821"/>
    <w:rsid w:val="07AE2ECD"/>
    <w:rsid w:val="07AF3996"/>
    <w:rsid w:val="07E2101F"/>
    <w:rsid w:val="08362309"/>
    <w:rsid w:val="08FE500A"/>
    <w:rsid w:val="09012917"/>
    <w:rsid w:val="0939545A"/>
    <w:rsid w:val="09AF5FD8"/>
    <w:rsid w:val="09B257FD"/>
    <w:rsid w:val="09E244F6"/>
    <w:rsid w:val="09F14F0B"/>
    <w:rsid w:val="0A236FC2"/>
    <w:rsid w:val="0A3B22EF"/>
    <w:rsid w:val="0A740EC6"/>
    <w:rsid w:val="0AB30227"/>
    <w:rsid w:val="0AD5056D"/>
    <w:rsid w:val="0BAB72B9"/>
    <w:rsid w:val="0BFA7C13"/>
    <w:rsid w:val="0C0149DC"/>
    <w:rsid w:val="0C0A6FBE"/>
    <w:rsid w:val="0C1E2D5D"/>
    <w:rsid w:val="0C382FA7"/>
    <w:rsid w:val="0C6D5C20"/>
    <w:rsid w:val="0C8323B8"/>
    <w:rsid w:val="0C9E7A71"/>
    <w:rsid w:val="0CB90E13"/>
    <w:rsid w:val="0CBB4B8B"/>
    <w:rsid w:val="0CE4473E"/>
    <w:rsid w:val="0D181FDD"/>
    <w:rsid w:val="0D7C083F"/>
    <w:rsid w:val="0E9F5A87"/>
    <w:rsid w:val="0EBC4BEA"/>
    <w:rsid w:val="0F034490"/>
    <w:rsid w:val="0F113188"/>
    <w:rsid w:val="0F394948"/>
    <w:rsid w:val="0F9A13CF"/>
    <w:rsid w:val="10260B06"/>
    <w:rsid w:val="104B5AD5"/>
    <w:rsid w:val="10A45E5C"/>
    <w:rsid w:val="11001F9C"/>
    <w:rsid w:val="11164A85"/>
    <w:rsid w:val="11241C58"/>
    <w:rsid w:val="112437C0"/>
    <w:rsid w:val="112F5B47"/>
    <w:rsid w:val="113E3FDC"/>
    <w:rsid w:val="118939D3"/>
    <w:rsid w:val="11A80819"/>
    <w:rsid w:val="12102C95"/>
    <w:rsid w:val="1232742E"/>
    <w:rsid w:val="12556969"/>
    <w:rsid w:val="127C21A0"/>
    <w:rsid w:val="1299424E"/>
    <w:rsid w:val="12AD052E"/>
    <w:rsid w:val="12FD4233"/>
    <w:rsid w:val="132D60B6"/>
    <w:rsid w:val="135342BC"/>
    <w:rsid w:val="13904FC3"/>
    <w:rsid w:val="141C0605"/>
    <w:rsid w:val="142B2F19"/>
    <w:rsid w:val="144C2F9E"/>
    <w:rsid w:val="14757D15"/>
    <w:rsid w:val="162E0AC3"/>
    <w:rsid w:val="163B169B"/>
    <w:rsid w:val="169A62D4"/>
    <w:rsid w:val="16EB42BE"/>
    <w:rsid w:val="16F2442D"/>
    <w:rsid w:val="17323654"/>
    <w:rsid w:val="175E421D"/>
    <w:rsid w:val="17A1517D"/>
    <w:rsid w:val="17B965B0"/>
    <w:rsid w:val="17BB1EE3"/>
    <w:rsid w:val="18053AE2"/>
    <w:rsid w:val="183A374F"/>
    <w:rsid w:val="189F35B2"/>
    <w:rsid w:val="18A76E10"/>
    <w:rsid w:val="190A1A5D"/>
    <w:rsid w:val="19403419"/>
    <w:rsid w:val="199C4650"/>
    <w:rsid w:val="1A472CBC"/>
    <w:rsid w:val="1A5C18CB"/>
    <w:rsid w:val="1A756CC1"/>
    <w:rsid w:val="1A912F5D"/>
    <w:rsid w:val="1ABB2BFD"/>
    <w:rsid w:val="1AF83E57"/>
    <w:rsid w:val="1B796265"/>
    <w:rsid w:val="1C2D035A"/>
    <w:rsid w:val="1C3012D4"/>
    <w:rsid w:val="1C3310EC"/>
    <w:rsid w:val="1C6E1726"/>
    <w:rsid w:val="1CC30282"/>
    <w:rsid w:val="1CEB2D64"/>
    <w:rsid w:val="1D134F1F"/>
    <w:rsid w:val="1D8C2372"/>
    <w:rsid w:val="1DA87390"/>
    <w:rsid w:val="1DCA10D2"/>
    <w:rsid w:val="1DFE62EA"/>
    <w:rsid w:val="1E4E1D03"/>
    <w:rsid w:val="1E7E3E45"/>
    <w:rsid w:val="1EA83929"/>
    <w:rsid w:val="1F24483B"/>
    <w:rsid w:val="1F3213AF"/>
    <w:rsid w:val="1F841754"/>
    <w:rsid w:val="1F9C7BD8"/>
    <w:rsid w:val="1FE040A6"/>
    <w:rsid w:val="1FFE5062"/>
    <w:rsid w:val="20411C55"/>
    <w:rsid w:val="204746CE"/>
    <w:rsid w:val="206332F5"/>
    <w:rsid w:val="20AC54AC"/>
    <w:rsid w:val="20B61DE1"/>
    <w:rsid w:val="20BC3637"/>
    <w:rsid w:val="20BE7EF7"/>
    <w:rsid w:val="20EF0E4F"/>
    <w:rsid w:val="20FC0744"/>
    <w:rsid w:val="213073E3"/>
    <w:rsid w:val="213351E0"/>
    <w:rsid w:val="213F1567"/>
    <w:rsid w:val="214E2429"/>
    <w:rsid w:val="21577C0D"/>
    <w:rsid w:val="215B2883"/>
    <w:rsid w:val="21647640"/>
    <w:rsid w:val="21AB4F46"/>
    <w:rsid w:val="21D00DD1"/>
    <w:rsid w:val="21E6657A"/>
    <w:rsid w:val="21EE6DEC"/>
    <w:rsid w:val="21EF545F"/>
    <w:rsid w:val="223F09BD"/>
    <w:rsid w:val="228D7EF0"/>
    <w:rsid w:val="22A002A0"/>
    <w:rsid w:val="23171323"/>
    <w:rsid w:val="234B6973"/>
    <w:rsid w:val="236330B0"/>
    <w:rsid w:val="23F10CC8"/>
    <w:rsid w:val="242C21A7"/>
    <w:rsid w:val="2442285A"/>
    <w:rsid w:val="24885D3F"/>
    <w:rsid w:val="24EC3F48"/>
    <w:rsid w:val="24ED39A0"/>
    <w:rsid w:val="255003C2"/>
    <w:rsid w:val="25C805EC"/>
    <w:rsid w:val="260E1D77"/>
    <w:rsid w:val="26B85668"/>
    <w:rsid w:val="27501596"/>
    <w:rsid w:val="278259F3"/>
    <w:rsid w:val="28195780"/>
    <w:rsid w:val="2844755E"/>
    <w:rsid w:val="28CE0579"/>
    <w:rsid w:val="29495480"/>
    <w:rsid w:val="294E705B"/>
    <w:rsid w:val="296940F9"/>
    <w:rsid w:val="29E732A6"/>
    <w:rsid w:val="2A9071FF"/>
    <w:rsid w:val="2AA14327"/>
    <w:rsid w:val="2AB66C1E"/>
    <w:rsid w:val="2ACB3597"/>
    <w:rsid w:val="2AFE060C"/>
    <w:rsid w:val="2B165956"/>
    <w:rsid w:val="2B372018"/>
    <w:rsid w:val="2B3B31BE"/>
    <w:rsid w:val="2B794137"/>
    <w:rsid w:val="2BB60EE7"/>
    <w:rsid w:val="2C837162"/>
    <w:rsid w:val="2D1E783E"/>
    <w:rsid w:val="2D2A2D28"/>
    <w:rsid w:val="2D547854"/>
    <w:rsid w:val="2D6665A8"/>
    <w:rsid w:val="2D681F02"/>
    <w:rsid w:val="2D7F3130"/>
    <w:rsid w:val="2D855E7E"/>
    <w:rsid w:val="2DCC67A0"/>
    <w:rsid w:val="2DE14B3C"/>
    <w:rsid w:val="2DE57862"/>
    <w:rsid w:val="2DEB68B1"/>
    <w:rsid w:val="2E165C6D"/>
    <w:rsid w:val="2E4A020C"/>
    <w:rsid w:val="2E6B483B"/>
    <w:rsid w:val="2E8D3902"/>
    <w:rsid w:val="2EAC4010"/>
    <w:rsid w:val="2ED173BC"/>
    <w:rsid w:val="2F046DF2"/>
    <w:rsid w:val="2F2E7BB6"/>
    <w:rsid w:val="2F523D36"/>
    <w:rsid w:val="2F590507"/>
    <w:rsid w:val="2FE029D7"/>
    <w:rsid w:val="30046A51"/>
    <w:rsid w:val="303C46AF"/>
    <w:rsid w:val="309641D1"/>
    <w:rsid w:val="30D36097"/>
    <w:rsid w:val="30EE2ED1"/>
    <w:rsid w:val="30EF0B21"/>
    <w:rsid w:val="310C20F7"/>
    <w:rsid w:val="31662E5B"/>
    <w:rsid w:val="31C74CDD"/>
    <w:rsid w:val="31D2040B"/>
    <w:rsid w:val="322D27DB"/>
    <w:rsid w:val="323B0398"/>
    <w:rsid w:val="32900861"/>
    <w:rsid w:val="32D103B5"/>
    <w:rsid w:val="330A3CD4"/>
    <w:rsid w:val="33191387"/>
    <w:rsid w:val="3344493D"/>
    <w:rsid w:val="334656FD"/>
    <w:rsid w:val="334868C9"/>
    <w:rsid w:val="33685687"/>
    <w:rsid w:val="336F5E43"/>
    <w:rsid w:val="337A6C06"/>
    <w:rsid w:val="33834696"/>
    <w:rsid w:val="339E7474"/>
    <w:rsid w:val="33EC2081"/>
    <w:rsid w:val="33EE15DD"/>
    <w:rsid w:val="33FE342B"/>
    <w:rsid w:val="344F264A"/>
    <w:rsid w:val="34684D49"/>
    <w:rsid w:val="34761429"/>
    <w:rsid w:val="34802092"/>
    <w:rsid w:val="34B01B96"/>
    <w:rsid w:val="34E85943"/>
    <w:rsid w:val="34FE6543"/>
    <w:rsid w:val="35034B09"/>
    <w:rsid w:val="35725C60"/>
    <w:rsid w:val="35792A70"/>
    <w:rsid w:val="35904557"/>
    <w:rsid w:val="35A94385"/>
    <w:rsid w:val="36603F29"/>
    <w:rsid w:val="367B3FC7"/>
    <w:rsid w:val="36873BAC"/>
    <w:rsid w:val="36A4475E"/>
    <w:rsid w:val="36BE0E42"/>
    <w:rsid w:val="3744632E"/>
    <w:rsid w:val="38190834"/>
    <w:rsid w:val="381F0CA3"/>
    <w:rsid w:val="38455ACD"/>
    <w:rsid w:val="38524270"/>
    <w:rsid w:val="38683569"/>
    <w:rsid w:val="387D5266"/>
    <w:rsid w:val="38B559CA"/>
    <w:rsid w:val="38C53E0D"/>
    <w:rsid w:val="391D07F7"/>
    <w:rsid w:val="39214C8F"/>
    <w:rsid w:val="39B75184"/>
    <w:rsid w:val="39B91AEF"/>
    <w:rsid w:val="39F57FC1"/>
    <w:rsid w:val="3A571AE7"/>
    <w:rsid w:val="3A8578F8"/>
    <w:rsid w:val="3AB71C38"/>
    <w:rsid w:val="3AF43EAA"/>
    <w:rsid w:val="3B71236F"/>
    <w:rsid w:val="3BAD0979"/>
    <w:rsid w:val="3CA316BA"/>
    <w:rsid w:val="3CD417E9"/>
    <w:rsid w:val="3D221248"/>
    <w:rsid w:val="3D232155"/>
    <w:rsid w:val="3D51281E"/>
    <w:rsid w:val="3D8058EA"/>
    <w:rsid w:val="3D91039F"/>
    <w:rsid w:val="3DBF3F22"/>
    <w:rsid w:val="3DC61CC7"/>
    <w:rsid w:val="3DE418E4"/>
    <w:rsid w:val="3E0D2958"/>
    <w:rsid w:val="3E4A6662"/>
    <w:rsid w:val="3E56400E"/>
    <w:rsid w:val="3E6738EA"/>
    <w:rsid w:val="3E815973"/>
    <w:rsid w:val="3ED5738D"/>
    <w:rsid w:val="3ED87A27"/>
    <w:rsid w:val="3EF913BF"/>
    <w:rsid w:val="3FBB4483"/>
    <w:rsid w:val="3FDA4D4C"/>
    <w:rsid w:val="40725686"/>
    <w:rsid w:val="415E375B"/>
    <w:rsid w:val="4185518C"/>
    <w:rsid w:val="41EE75CB"/>
    <w:rsid w:val="41F8668A"/>
    <w:rsid w:val="43090FA9"/>
    <w:rsid w:val="43110B3D"/>
    <w:rsid w:val="436C0B3C"/>
    <w:rsid w:val="43F73B07"/>
    <w:rsid w:val="43FB625C"/>
    <w:rsid w:val="44FC39B7"/>
    <w:rsid w:val="45275022"/>
    <w:rsid w:val="45605CF4"/>
    <w:rsid w:val="456B3924"/>
    <w:rsid w:val="45955892"/>
    <w:rsid w:val="459D5C9D"/>
    <w:rsid w:val="45C0726E"/>
    <w:rsid w:val="45D7143A"/>
    <w:rsid w:val="45E61C3E"/>
    <w:rsid w:val="467523B1"/>
    <w:rsid w:val="46833998"/>
    <w:rsid w:val="46B362F7"/>
    <w:rsid w:val="46BE3FEB"/>
    <w:rsid w:val="47046B53"/>
    <w:rsid w:val="476273EE"/>
    <w:rsid w:val="47803AED"/>
    <w:rsid w:val="47B972D2"/>
    <w:rsid w:val="47C071A5"/>
    <w:rsid w:val="47ED4286"/>
    <w:rsid w:val="48063EBB"/>
    <w:rsid w:val="480953E8"/>
    <w:rsid w:val="484216E1"/>
    <w:rsid w:val="484E4529"/>
    <w:rsid w:val="49115557"/>
    <w:rsid w:val="49217C37"/>
    <w:rsid w:val="493E2EE1"/>
    <w:rsid w:val="4968786D"/>
    <w:rsid w:val="4A392FB7"/>
    <w:rsid w:val="4A407298"/>
    <w:rsid w:val="4AC45A57"/>
    <w:rsid w:val="4B5D2CD5"/>
    <w:rsid w:val="4B7215E9"/>
    <w:rsid w:val="4BB533F9"/>
    <w:rsid w:val="4BDA60D4"/>
    <w:rsid w:val="4C075B69"/>
    <w:rsid w:val="4C1A40B9"/>
    <w:rsid w:val="4C7473D6"/>
    <w:rsid w:val="4CA0731E"/>
    <w:rsid w:val="4CB55E99"/>
    <w:rsid w:val="4CBA5818"/>
    <w:rsid w:val="4CCA0B96"/>
    <w:rsid w:val="4D1B2D86"/>
    <w:rsid w:val="4D2C2AA8"/>
    <w:rsid w:val="4D392502"/>
    <w:rsid w:val="4D4001B9"/>
    <w:rsid w:val="4DB70E50"/>
    <w:rsid w:val="4DDD2D7D"/>
    <w:rsid w:val="4E22460E"/>
    <w:rsid w:val="4E2B5295"/>
    <w:rsid w:val="4E5117EE"/>
    <w:rsid w:val="4EA13438"/>
    <w:rsid w:val="4EA40AAA"/>
    <w:rsid w:val="4EB726FD"/>
    <w:rsid w:val="4F075432"/>
    <w:rsid w:val="4F4B79F8"/>
    <w:rsid w:val="4F716D4F"/>
    <w:rsid w:val="4FB86A79"/>
    <w:rsid w:val="4FD203D8"/>
    <w:rsid w:val="50155875"/>
    <w:rsid w:val="5047059D"/>
    <w:rsid w:val="505226DD"/>
    <w:rsid w:val="506F328F"/>
    <w:rsid w:val="5076676F"/>
    <w:rsid w:val="514C1792"/>
    <w:rsid w:val="519448B3"/>
    <w:rsid w:val="52D5668E"/>
    <w:rsid w:val="53302189"/>
    <w:rsid w:val="5350784E"/>
    <w:rsid w:val="538C4158"/>
    <w:rsid w:val="543954D8"/>
    <w:rsid w:val="55284BA3"/>
    <w:rsid w:val="55316070"/>
    <w:rsid w:val="554C3B9F"/>
    <w:rsid w:val="557035AE"/>
    <w:rsid w:val="55777691"/>
    <w:rsid w:val="55C4367B"/>
    <w:rsid w:val="56270565"/>
    <w:rsid w:val="562E599A"/>
    <w:rsid w:val="566E3FE9"/>
    <w:rsid w:val="577E7B97"/>
    <w:rsid w:val="57C47354"/>
    <w:rsid w:val="58117322"/>
    <w:rsid w:val="583F1B35"/>
    <w:rsid w:val="588C5C1D"/>
    <w:rsid w:val="59401C6C"/>
    <w:rsid w:val="59464DA9"/>
    <w:rsid w:val="597D4EA5"/>
    <w:rsid w:val="59AE2E31"/>
    <w:rsid w:val="59D0352A"/>
    <w:rsid w:val="59F0154F"/>
    <w:rsid w:val="5A664029"/>
    <w:rsid w:val="5B09106F"/>
    <w:rsid w:val="5B1D68C5"/>
    <w:rsid w:val="5B330F7D"/>
    <w:rsid w:val="5B951068"/>
    <w:rsid w:val="5C3B2BBF"/>
    <w:rsid w:val="5C776EDC"/>
    <w:rsid w:val="5C883D6A"/>
    <w:rsid w:val="5CB97774"/>
    <w:rsid w:val="5CE51706"/>
    <w:rsid w:val="5D101956"/>
    <w:rsid w:val="5D1C654D"/>
    <w:rsid w:val="5D303375"/>
    <w:rsid w:val="5D355860"/>
    <w:rsid w:val="5D52169E"/>
    <w:rsid w:val="5DD674B0"/>
    <w:rsid w:val="5DF179D9"/>
    <w:rsid w:val="5E0F0B7C"/>
    <w:rsid w:val="5E331DA0"/>
    <w:rsid w:val="5E402EA6"/>
    <w:rsid w:val="5E4915C3"/>
    <w:rsid w:val="5E7D301B"/>
    <w:rsid w:val="5E9D2C06"/>
    <w:rsid w:val="5EEB267A"/>
    <w:rsid w:val="5F182425"/>
    <w:rsid w:val="5F1D40E4"/>
    <w:rsid w:val="5F716C06"/>
    <w:rsid w:val="5F751064"/>
    <w:rsid w:val="5F8C0B85"/>
    <w:rsid w:val="5FA24C4A"/>
    <w:rsid w:val="5FBA6684"/>
    <w:rsid w:val="5FCC17D9"/>
    <w:rsid w:val="5FDE3F8D"/>
    <w:rsid w:val="60762418"/>
    <w:rsid w:val="60EC2C1E"/>
    <w:rsid w:val="611618F4"/>
    <w:rsid w:val="617D503E"/>
    <w:rsid w:val="618630B1"/>
    <w:rsid w:val="618E629C"/>
    <w:rsid w:val="619532FF"/>
    <w:rsid w:val="61C27AC3"/>
    <w:rsid w:val="61D76EE6"/>
    <w:rsid w:val="61EB4CB8"/>
    <w:rsid w:val="6221251B"/>
    <w:rsid w:val="62372924"/>
    <w:rsid w:val="62497CC0"/>
    <w:rsid w:val="62996A8B"/>
    <w:rsid w:val="6389090E"/>
    <w:rsid w:val="638C1122"/>
    <w:rsid w:val="639F3A33"/>
    <w:rsid w:val="63C77A11"/>
    <w:rsid w:val="63D93821"/>
    <w:rsid w:val="63ED6FCB"/>
    <w:rsid w:val="64BC3F3D"/>
    <w:rsid w:val="65BB7E61"/>
    <w:rsid w:val="65BE0315"/>
    <w:rsid w:val="65C45E61"/>
    <w:rsid w:val="662B0176"/>
    <w:rsid w:val="663B38C9"/>
    <w:rsid w:val="6659436D"/>
    <w:rsid w:val="668A7F53"/>
    <w:rsid w:val="66B9305E"/>
    <w:rsid w:val="674B0A17"/>
    <w:rsid w:val="679E4D23"/>
    <w:rsid w:val="67F07268"/>
    <w:rsid w:val="68297D70"/>
    <w:rsid w:val="68AB6ACE"/>
    <w:rsid w:val="68C61A62"/>
    <w:rsid w:val="68CD1043"/>
    <w:rsid w:val="68F465CF"/>
    <w:rsid w:val="69083E29"/>
    <w:rsid w:val="69201173"/>
    <w:rsid w:val="69EE1F2C"/>
    <w:rsid w:val="6A6443E0"/>
    <w:rsid w:val="6B6537B4"/>
    <w:rsid w:val="6BCD06D0"/>
    <w:rsid w:val="6BE02E3B"/>
    <w:rsid w:val="6BE566F6"/>
    <w:rsid w:val="6C533C70"/>
    <w:rsid w:val="6CAE23C4"/>
    <w:rsid w:val="6D606D8F"/>
    <w:rsid w:val="6DB8406F"/>
    <w:rsid w:val="6DD469CF"/>
    <w:rsid w:val="6E277B0B"/>
    <w:rsid w:val="6EF13547"/>
    <w:rsid w:val="6EF26926"/>
    <w:rsid w:val="6F243248"/>
    <w:rsid w:val="6F2D2FEB"/>
    <w:rsid w:val="6F5D6F07"/>
    <w:rsid w:val="6F7F5395"/>
    <w:rsid w:val="6FCA4733"/>
    <w:rsid w:val="7003534A"/>
    <w:rsid w:val="70440F20"/>
    <w:rsid w:val="70C64CF5"/>
    <w:rsid w:val="70F30660"/>
    <w:rsid w:val="71120B95"/>
    <w:rsid w:val="71122C28"/>
    <w:rsid w:val="71333A0D"/>
    <w:rsid w:val="71383E60"/>
    <w:rsid w:val="71463740"/>
    <w:rsid w:val="71634F44"/>
    <w:rsid w:val="71663DE2"/>
    <w:rsid w:val="717A56C5"/>
    <w:rsid w:val="71C975F1"/>
    <w:rsid w:val="72004E62"/>
    <w:rsid w:val="72141A90"/>
    <w:rsid w:val="72274603"/>
    <w:rsid w:val="7257473F"/>
    <w:rsid w:val="72A95029"/>
    <w:rsid w:val="72B714BD"/>
    <w:rsid w:val="72F316A6"/>
    <w:rsid w:val="737E3A6D"/>
    <w:rsid w:val="73982765"/>
    <w:rsid w:val="73A86A0B"/>
    <w:rsid w:val="745536F2"/>
    <w:rsid w:val="74F86FE9"/>
    <w:rsid w:val="74FC69DF"/>
    <w:rsid w:val="752A43E2"/>
    <w:rsid w:val="75A06EB6"/>
    <w:rsid w:val="75CF0611"/>
    <w:rsid w:val="75DB6FB6"/>
    <w:rsid w:val="75F714AD"/>
    <w:rsid w:val="76360227"/>
    <w:rsid w:val="76A4716D"/>
    <w:rsid w:val="76AD1018"/>
    <w:rsid w:val="775540C5"/>
    <w:rsid w:val="77A401AA"/>
    <w:rsid w:val="77A46F0B"/>
    <w:rsid w:val="77D01FB6"/>
    <w:rsid w:val="77F02658"/>
    <w:rsid w:val="781A76D5"/>
    <w:rsid w:val="78486E90"/>
    <w:rsid w:val="78520152"/>
    <w:rsid w:val="78774B38"/>
    <w:rsid w:val="7884723A"/>
    <w:rsid w:val="788F3C1F"/>
    <w:rsid w:val="78BC491F"/>
    <w:rsid w:val="78BF75CF"/>
    <w:rsid w:val="79240D60"/>
    <w:rsid w:val="79752E15"/>
    <w:rsid w:val="79FD4660"/>
    <w:rsid w:val="7A5B4009"/>
    <w:rsid w:val="7A665E6C"/>
    <w:rsid w:val="7AAE2680"/>
    <w:rsid w:val="7AC04563"/>
    <w:rsid w:val="7AC1208A"/>
    <w:rsid w:val="7B002BB2"/>
    <w:rsid w:val="7B004843"/>
    <w:rsid w:val="7B4220B8"/>
    <w:rsid w:val="7B980683"/>
    <w:rsid w:val="7C0447E0"/>
    <w:rsid w:val="7C43369E"/>
    <w:rsid w:val="7CA67789"/>
    <w:rsid w:val="7CA92035"/>
    <w:rsid w:val="7CB25A26"/>
    <w:rsid w:val="7CBC08C4"/>
    <w:rsid w:val="7D574DCF"/>
    <w:rsid w:val="7E4A0B18"/>
    <w:rsid w:val="7E857C43"/>
    <w:rsid w:val="7EA128FE"/>
    <w:rsid w:val="7EAB4E7D"/>
    <w:rsid w:val="7EC94228"/>
    <w:rsid w:val="7FCF26F7"/>
    <w:rsid w:val="7FF201A2"/>
    <w:rsid w:val="7FF83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snapToGrid w:val="0"/>
      <w:spacing w:line="590" w:lineRule="exact"/>
      <w:ind w:firstLine="200" w:firstLineChars="200"/>
      <w:jc w:val="both"/>
    </w:pPr>
    <w:rPr>
      <w:rFonts w:ascii="Times" w:hAnsi="Times" w:eastAsia="方正仿宋_GBK"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590" w:lineRule="exact"/>
      <w:ind w:firstLine="880" w:firstLineChars="200"/>
    </w:pPr>
    <w:rPr>
      <w:rFonts w:eastAsia="方正仿宋_GBK"/>
      <w:sz w:val="32"/>
    </w:rPr>
  </w:style>
  <w:style w:type="paragraph" w:styleId="3">
    <w:name w:val="footer"/>
    <w:basedOn w:val="1"/>
    <w:unhideWhenUsed/>
    <w:qFormat/>
    <w:uiPriority w:val="99"/>
    <w:pPr>
      <w:tabs>
        <w:tab w:val="center" w:pos="4153"/>
        <w:tab w:val="right" w:pos="8306"/>
      </w:tabs>
      <w:spacing w:line="240" w:lineRule="atLeast"/>
      <w:jc w:val="left"/>
    </w:pPr>
    <w:rPr>
      <w:sz w:val="18"/>
      <w:szCs w:val="18"/>
    </w:rPr>
  </w:style>
  <w:style w:type="character" w:customStyle="1" w:styleId="6">
    <w:name w:val="font101"/>
    <w:basedOn w:val="5"/>
    <w:qFormat/>
    <w:uiPriority w:val="0"/>
    <w:rPr>
      <w:rFonts w:hint="eastAsia" w:ascii="宋体" w:hAnsi="宋体" w:eastAsia="宋体" w:cs="宋体"/>
      <w:color w:val="000000"/>
      <w:sz w:val="24"/>
      <w:szCs w:val="24"/>
      <w:u w:val="none"/>
    </w:rPr>
  </w:style>
  <w:style w:type="character" w:customStyle="1" w:styleId="7">
    <w:name w:val="font21"/>
    <w:basedOn w:val="5"/>
    <w:qFormat/>
    <w:uiPriority w:val="0"/>
    <w:rPr>
      <w:rFonts w:hint="eastAsia" w:ascii="仿宋_GB2312" w:eastAsia="仿宋_GB2312" w:cs="仿宋_GB2312"/>
      <w:color w:val="000000"/>
      <w:sz w:val="24"/>
      <w:szCs w:val="24"/>
      <w:u w:val="none"/>
    </w:rPr>
  </w:style>
  <w:style w:type="character" w:customStyle="1" w:styleId="8">
    <w:name w:val="font111"/>
    <w:basedOn w:val="5"/>
    <w:qFormat/>
    <w:uiPriority w:val="0"/>
    <w:rPr>
      <w:rFonts w:hint="eastAsia" w:ascii="仿宋_GB2312" w:eastAsia="仿宋_GB2312" w:cs="仿宋_GB2312"/>
      <w:color w:val="FF0000"/>
      <w:sz w:val="24"/>
      <w:szCs w:val="24"/>
      <w:u w:val="none"/>
    </w:rPr>
  </w:style>
  <w:style w:type="character" w:customStyle="1" w:styleId="9">
    <w:name w:val="font81"/>
    <w:basedOn w:val="5"/>
    <w:qFormat/>
    <w:uiPriority w:val="0"/>
    <w:rPr>
      <w:rFonts w:hint="eastAsia" w:ascii="仿宋_GB2312" w:eastAsia="仿宋_GB2312" w:cs="仿宋_GB2312"/>
      <w:strike/>
      <w:color w:val="FF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13286</Words>
  <Characters>14079</Characters>
  <Lines>0</Lines>
  <Paragraphs>0</Paragraphs>
  <TotalTime>10</TotalTime>
  <ScaleCrop>false</ScaleCrop>
  <LinksUpToDate>false</LinksUpToDate>
  <CharactersWithSpaces>14173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2026-03-03T01:07:00Z</dcterms:created>
  <dc:creator>W.L</dc:creator>
  <cp:lastModifiedBy>李明华</cp:lastModifiedBy>
  <dcterms:modified xsi:type="dcterms:W3CDTF">2026-08-11T01:30:28Z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12357595FE7B474ABC760917CBFF5F6D_11</vt:lpwstr>
  </property>
  <property fmtid="{D5CDD505-2E9C-101B-9397-08002B2CF9AE}" pid="4" name="KSOTemplateDocerSaveRecord">
    <vt:lpwstr>eyJoZGlkIjoiOTZkMjhiNTNiM2NkY2UwOWIzNzY5MDhiYmVlMDhmNjMiLCJ1c2VySWQiOiI1NDYwOTU5MjMifQ==</vt:lpwstr>
  </property>
</Properties>
</file>