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9CB2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附件2：</w:t>
      </w:r>
    </w:p>
    <w:p w14:paraId="3E0132A8">
      <w:pPr>
        <w:tabs>
          <w:tab w:val="left" w:pos="4263"/>
        </w:tabs>
        <w:ind w:firstLine="6505" w:firstLineChars="1800"/>
        <w:jc w:val="both"/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  <w:t>评分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eastAsia="zh-CN"/>
        </w:rPr>
        <w:t>表</w:t>
      </w:r>
      <w:bookmarkEnd w:id="0"/>
    </w:p>
    <w:tbl>
      <w:tblPr>
        <w:tblStyle w:val="5"/>
        <w:tblW w:w="12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842"/>
        <w:gridCol w:w="8937"/>
        <w:gridCol w:w="1364"/>
      </w:tblGrid>
      <w:tr w14:paraId="684B2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19" w:type="dxa"/>
            <w:gridSpan w:val="2"/>
            <w:noWrap/>
            <w:vAlign w:val="center"/>
          </w:tcPr>
          <w:p w14:paraId="52AD6754">
            <w:pPr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评审因素</w:t>
            </w:r>
          </w:p>
        </w:tc>
        <w:tc>
          <w:tcPr>
            <w:tcW w:w="8937" w:type="dxa"/>
            <w:noWrap/>
            <w:vAlign w:val="center"/>
          </w:tcPr>
          <w:p w14:paraId="1259414C">
            <w:pPr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kern w:val="0"/>
                <w:sz w:val="20"/>
                <w:szCs w:val="20"/>
              </w:rPr>
              <w:t>评分标准</w:t>
            </w:r>
          </w:p>
        </w:tc>
        <w:tc>
          <w:tcPr>
            <w:tcW w:w="1364" w:type="dxa"/>
            <w:noWrap/>
            <w:vAlign w:val="center"/>
          </w:tcPr>
          <w:p w14:paraId="6C99DA16">
            <w:pPr>
              <w:jc w:val="center"/>
              <w:rPr>
                <w:rFonts w:hint="eastAsia" w:ascii="宋体" w:hAnsi="宋体" w:eastAsia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  <w:lang w:eastAsia="zh-CN"/>
              </w:rPr>
              <w:t>得分</w:t>
            </w:r>
          </w:p>
        </w:tc>
      </w:tr>
      <w:tr w14:paraId="7B00C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1919" w:type="dxa"/>
            <w:gridSpan w:val="2"/>
            <w:noWrap/>
            <w:vAlign w:val="center"/>
          </w:tcPr>
          <w:p w14:paraId="2D199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商务分(20分)</w:t>
            </w:r>
          </w:p>
        </w:tc>
        <w:tc>
          <w:tcPr>
            <w:tcW w:w="8937" w:type="dxa"/>
            <w:noWrap/>
            <w:vAlign w:val="center"/>
          </w:tcPr>
          <w:p w14:paraId="233E4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1.基础报价为全部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租赁合同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租金的1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%，低于上述报价为无效报价，得0分；以最高投标报价为基准值，得满分；其他报价与之相比每低1%，扣1分（保留一位小数，四舍五入）。本项分值10分。</w:t>
            </w:r>
          </w:p>
          <w:p w14:paraId="156EE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2.</w:t>
            </w:r>
            <w:r>
              <w:rPr>
                <w:rFonts w:hint="eastAsia" w:ascii="宋体" w:hAnsi="宋体"/>
                <w:kern w:val="0"/>
                <w:sz w:val="20"/>
                <w:szCs w:val="20"/>
                <w:highlight w:val="none"/>
              </w:rPr>
              <w:t>合作方承诺将以不低于12000元/套的价格向征集方</w:t>
            </w:r>
            <w:r>
              <w:rPr>
                <w:rFonts w:hint="eastAsia" w:ascii="宋体" w:hAnsi="宋体"/>
                <w:kern w:val="0"/>
                <w:sz w:val="20"/>
                <w:szCs w:val="20"/>
                <w:highlight w:val="none"/>
                <w:lang w:eastAsia="zh-CN"/>
              </w:rPr>
              <w:t>支付一次性运营权合作费用</w:t>
            </w:r>
            <w:r>
              <w:rPr>
                <w:rFonts w:hint="eastAsia" w:ascii="宋体" w:hAnsi="宋体"/>
                <w:kern w:val="0"/>
                <w:sz w:val="20"/>
                <w:szCs w:val="20"/>
                <w:highlight w:val="none"/>
              </w:rPr>
              <w:t>，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低于上述报价为无效报价，得0分；以最高投标报价为基准值，得满分；其他报价与之相比每低500元，扣1分（不足500的按500计）。本项最高得10分。</w:t>
            </w:r>
          </w:p>
        </w:tc>
        <w:tc>
          <w:tcPr>
            <w:tcW w:w="1364" w:type="dxa"/>
            <w:noWrap/>
            <w:vAlign w:val="center"/>
          </w:tcPr>
          <w:p w14:paraId="5132C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52BE3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1077" w:type="dxa"/>
            <w:noWrap/>
            <w:vAlign w:val="center"/>
          </w:tcPr>
          <w:p w14:paraId="5ED3C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资信分</w:t>
            </w:r>
          </w:p>
          <w:p w14:paraId="40D15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20分）</w:t>
            </w:r>
          </w:p>
        </w:tc>
        <w:tc>
          <w:tcPr>
            <w:tcW w:w="842" w:type="dxa"/>
            <w:noWrap/>
            <w:vAlign w:val="center"/>
          </w:tcPr>
          <w:p w14:paraId="00FFA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企业业绩(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分)</w:t>
            </w:r>
          </w:p>
        </w:tc>
        <w:tc>
          <w:tcPr>
            <w:tcW w:w="8937" w:type="dxa"/>
            <w:noWrap/>
            <w:vAlign w:val="center"/>
          </w:tcPr>
          <w:p w14:paraId="147C33A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1.被征集单位自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2020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年1月1日至征集截止时间前，运营过类似项目的，</w:t>
            </w:r>
            <w:r>
              <w:rPr>
                <w:rFonts w:hint="eastAsia" w:ascii="宋体" w:hAnsi="宋体" w:eastAsia="宋体"/>
                <w:sz w:val="20"/>
                <w:szCs w:val="20"/>
                <w:highlight w:val="none"/>
              </w:rPr>
              <w:t>每运营过一个得</w:t>
            </w:r>
            <w:r>
              <w:rPr>
                <w:rFonts w:hint="eastAsia" w:ascii="宋体" w:hAnsi="宋体" w:eastAsia="宋体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0"/>
                <w:szCs w:val="20"/>
                <w:highlight w:val="none"/>
              </w:rPr>
              <w:t>分，最高得</w:t>
            </w:r>
            <w:r>
              <w:rPr>
                <w:rFonts w:hint="eastAsia" w:ascii="宋体" w:hAnsi="宋体" w:eastAsia="宋体"/>
                <w:sz w:val="20"/>
                <w:szCs w:val="20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eastAsia="宋体"/>
                <w:sz w:val="20"/>
                <w:szCs w:val="20"/>
                <w:highlight w:val="none"/>
              </w:rPr>
              <w:t>分。</w:t>
            </w:r>
          </w:p>
          <w:p w14:paraId="03775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2.被征集单位自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2020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年1月1日至征集截止时间前，运营的类似项目取得过政府部门表彰或相关荣誉的，</w:t>
            </w:r>
            <w:r>
              <w:rPr>
                <w:rFonts w:hint="eastAsia" w:ascii="宋体" w:hAnsi="宋体"/>
                <w:kern w:val="0"/>
                <w:sz w:val="20"/>
                <w:szCs w:val="20"/>
                <w:highlight w:val="none"/>
              </w:rPr>
              <w:t>每提供一份证明得</w:t>
            </w:r>
            <w:r>
              <w:rPr>
                <w:rFonts w:hint="eastAsia" w:ascii="宋体" w:hAnsi="宋体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  <w:highlight w:val="none"/>
              </w:rPr>
              <w:t>分，最高得</w:t>
            </w:r>
            <w:r>
              <w:rPr>
                <w:rFonts w:hint="eastAsia" w:ascii="宋体" w:hAnsi="宋体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  <w:highlight w:val="none"/>
              </w:rPr>
              <w:t>分。</w:t>
            </w:r>
          </w:p>
          <w:p w14:paraId="5FA7C93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  <w:highlight w:val="none"/>
              </w:rPr>
              <w:t>(</w:t>
            </w:r>
            <w:r>
              <w:rPr>
                <w:rFonts w:hint="eastAsia" w:ascii="宋体" w:hAnsi="宋体"/>
                <w:szCs w:val="20"/>
                <w:highlight w:val="none"/>
                <w:lang w:eastAsia="zh-CN"/>
              </w:rPr>
              <w:t>注：类似项目指长租房项目。</w:t>
            </w:r>
            <w:r>
              <w:rPr>
                <w:rFonts w:hint="eastAsia" w:ascii="宋体" w:hAnsi="宋体"/>
                <w:szCs w:val="20"/>
              </w:rPr>
              <w:t>所有文件、合同等需要真实有效。被征集人在被征集后签订合同前需提供相关证明文件原件，若发现资料作假的取消被征集资格。)</w:t>
            </w:r>
          </w:p>
        </w:tc>
        <w:tc>
          <w:tcPr>
            <w:tcW w:w="1364" w:type="dxa"/>
            <w:noWrap/>
            <w:vAlign w:val="center"/>
          </w:tcPr>
          <w:p w14:paraId="60BB51A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szCs w:val="20"/>
              </w:rPr>
            </w:pPr>
          </w:p>
        </w:tc>
      </w:tr>
      <w:tr w14:paraId="1B619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vMerge w:val="restart"/>
            <w:noWrap/>
            <w:vAlign w:val="center"/>
          </w:tcPr>
          <w:p w14:paraId="43CAD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技术分（60分）</w:t>
            </w:r>
          </w:p>
        </w:tc>
        <w:tc>
          <w:tcPr>
            <w:tcW w:w="842" w:type="dxa"/>
            <w:noWrap/>
            <w:vAlign w:val="center"/>
          </w:tcPr>
          <w:p w14:paraId="7B8F1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市场定位</w:t>
            </w:r>
          </w:p>
          <w:p w14:paraId="52B26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规划方案（10分）</w:t>
            </w:r>
          </w:p>
        </w:tc>
        <w:tc>
          <w:tcPr>
            <w:tcW w:w="8937" w:type="dxa"/>
            <w:noWrap/>
            <w:vAlign w:val="center"/>
          </w:tcPr>
          <w:p w14:paraId="7FA6D33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1.对本项目项目定位，是否符合泰州市产业发展方向情况进行打分，总分5分。</w:t>
            </w:r>
          </w:p>
          <w:p w14:paraId="1311A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报告条理清晰，项目定位明确，符合市场逻辑，得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分；</w:t>
            </w:r>
          </w:p>
          <w:p w14:paraId="3675A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报告条理模糊，项目定位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基本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明确，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基本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符合市场逻辑，得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3-4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分；</w:t>
            </w:r>
          </w:p>
          <w:p w14:paraId="162AA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报告条理不清晰，目标不明确，不符合市场逻辑，得0分。</w:t>
            </w:r>
          </w:p>
          <w:p w14:paraId="14B552C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2.根据被征集单位针对本项目的功能规划情况打分，总分5分。</w:t>
            </w:r>
          </w:p>
          <w:p w14:paraId="37A7C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功能规划全面，结构布局清晰，满足本项目需求得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分；</w:t>
            </w:r>
          </w:p>
          <w:p w14:paraId="6587A1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功能规划全面，结构布局一般，基本满足项目需求得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3-4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分；</w:t>
            </w:r>
          </w:p>
          <w:p w14:paraId="7144E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color w:val="FF000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功能规划基本全面，结构布局不清晰，不满足项目需求得0分。</w:t>
            </w:r>
          </w:p>
        </w:tc>
        <w:tc>
          <w:tcPr>
            <w:tcW w:w="1364" w:type="dxa"/>
            <w:noWrap/>
            <w:vAlign w:val="center"/>
          </w:tcPr>
          <w:p w14:paraId="0FAA9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</w:tr>
      <w:tr w14:paraId="70292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5" w:hRule="atLeast"/>
          <w:jc w:val="center"/>
        </w:trPr>
        <w:tc>
          <w:tcPr>
            <w:tcW w:w="1077" w:type="dxa"/>
            <w:vMerge w:val="continue"/>
            <w:noWrap/>
            <w:vAlign w:val="center"/>
          </w:tcPr>
          <w:p w14:paraId="0911A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42" w:type="dxa"/>
            <w:noWrap/>
            <w:vAlign w:val="center"/>
          </w:tcPr>
          <w:p w14:paraId="7E294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项目实施方案（30分）</w:t>
            </w:r>
          </w:p>
        </w:tc>
        <w:tc>
          <w:tcPr>
            <w:tcW w:w="8937" w:type="dxa"/>
            <w:noWrap/>
            <w:vAlign w:val="center"/>
          </w:tcPr>
          <w:p w14:paraId="1AD56A0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1.根据被征集单位针对本项目装修涉及效果情况进行打分，总分10分。</w:t>
            </w:r>
          </w:p>
          <w:p w14:paraId="0807B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装修效果展示符合本项目需求，得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分；</w:t>
            </w:r>
          </w:p>
          <w:p w14:paraId="4AB29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装修效果展示基本符合本项目需求，得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6-9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分；</w:t>
            </w:r>
          </w:p>
          <w:p w14:paraId="7DB672F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装修效果展示不符合本项目需求，得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分</w:t>
            </w:r>
          </w:p>
          <w:p w14:paraId="3340232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.根据被征集单位针对本项目招商渠道路径方案进行打分，总分10分。</w:t>
            </w:r>
          </w:p>
          <w:p w14:paraId="5C377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招商方案合理，渠道路径明晰，满足本项目需求，得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分；</w:t>
            </w:r>
          </w:p>
          <w:p w14:paraId="531F4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招商方案基本合理，渠道路径基本明晰，满足项目需求，得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6-9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分；</w:t>
            </w:r>
          </w:p>
          <w:p w14:paraId="40409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招商方案不合理，渠道路径不明晰，不满足项目需求，得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分。</w:t>
            </w:r>
          </w:p>
          <w:p w14:paraId="2B408FB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3.根据被征集单位针对本项目运营管理方案进行打分，总分10分。</w:t>
            </w:r>
          </w:p>
          <w:p w14:paraId="598FD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运营管理方案合理，思路明晰，满足本项目需求，得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分；</w:t>
            </w:r>
          </w:p>
          <w:p w14:paraId="2F7AC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运营管理方案基本合理，思路基本明晰，满足项目需求，得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6-9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分；</w:t>
            </w:r>
          </w:p>
          <w:p w14:paraId="61D2C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运营管理方案不合理，思路不明晰，不满足项目需求，得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分。</w:t>
            </w:r>
          </w:p>
        </w:tc>
        <w:tc>
          <w:tcPr>
            <w:tcW w:w="1364" w:type="dxa"/>
            <w:noWrap/>
            <w:vAlign w:val="center"/>
          </w:tcPr>
          <w:p w14:paraId="3788A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</w:tr>
      <w:tr w14:paraId="52D95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077" w:type="dxa"/>
            <w:vMerge w:val="continue"/>
            <w:noWrap/>
            <w:vAlign w:val="center"/>
          </w:tcPr>
          <w:p w14:paraId="61C29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42" w:type="dxa"/>
            <w:noWrap/>
            <w:vAlign w:val="center"/>
          </w:tcPr>
          <w:p w14:paraId="57B58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投资预算</w:t>
            </w:r>
          </w:p>
          <w:p w14:paraId="68CD8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（10分）</w:t>
            </w:r>
          </w:p>
        </w:tc>
        <w:tc>
          <w:tcPr>
            <w:tcW w:w="8937" w:type="dxa"/>
            <w:noWrap/>
            <w:vAlign w:val="center"/>
          </w:tcPr>
          <w:p w14:paraId="30B45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根据被征集单位针对本项目装修预算投资情况进行打分，总分10分。</w:t>
            </w:r>
          </w:p>
          <w:p w14:paraId="25B6F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投资预算符合本项目需求得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分；</w:t>
            </w:r>
          </w:p>
          <w:p w14:paraId="082F3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投资预算稍低于市场同级别项目，基本能满足项目需求，得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6-9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分；</w:t>
            </w:r>
          </w:p>
          <w:p w14:paraId="014AF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投资预算严重不足，完全不满足本项目需求，得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分</w:t>
            </w:r>
          </w:p>
        </w:tc>
        <w:tc>
          <w:tcPr>
            <w:tcW w:w="1364" w:type="dxa"/>
            <w:noWrap/>
            <w:vAlign w:val="center"/>
          </w:tcPr>
          <w:p w14:paraId="3C879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</w:tr>
      <w:tr w14:paraId="6BA9A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1077" w:type="dxa"/>
            <w:vMerge w:val="continue"/>
            <w:noWrap/>
            <w:vAlign w:val="center"/>
          </w:tcPr>
          <w:p w14:paraId="235B6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42" w:type="dxa"/>
            <w:noWrap/>
            <w:vAlign w:val="center"/>
          </w:tcPr>
          <w:p w14:paraId="61E23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项目服务</w:t>
            </w:r>
          </w:p>
          <w:p w14:paraId="4AABA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方案</w:t>
            </w:r>
          </w:p>
          <w:p w14:paraId="7B567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（10分）</w:t>
            </w:r>
          </w:p>
        </w:tc>
        <w:tc>
          <w:tcPr>
            <w:tcW w:w="8937" w:type="dxa"/>
            <w:noWrap/>
            <w:vAlign w:val="center"/>
          </w:tcPr>
          <w:p w14:paraId="2CB86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根据投标人提供的项目运营服务方案，团队服务内容的可行性、完整性方面进行评分：</w:t>
            </w:r>
          </w:p>
          <w:p w14:paraId="5EFF5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团队服务方案可行性很强，内容详细完整，得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分；</w:t>
            </w:r>
          </w:p>
          <w:p w14:paraId="5AF8F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团队服务方案可行性较强，内容较完整，得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6-9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分；</w:t>
            </w:r>
          </w:p>
          <w:p w14:paraId="4E176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团队服务方案可行性一般，内容相对不足，得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分。</w:t>
            </w:r>
          </w:p>
        </w:tc>
        <w:tc>
          <w:tcPr>
            <w:tcW w:w="1364" w:type="dxa"/>
            <w:noWrap/>
            <w:vAlign w:val="center"/>
          </w:tcPr>
          <w:p w14:paraId="1F9A9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</w:tr>
      <w:tr w14:paraId="2B3ED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1919" w:type="dxa"/>
            <w:gridSpan w:val="2"/>
            <w:noWrap/>
            <w:vAlign w:val="center"/>
          </w:tcPr>
          <w:p w14:paraId="28242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合计</w:t>
            </w:r>
          </w:p>
        </w:tc>
        <w:tc>
          <w:tcPr>
            <w:tcW w:w="8937" w:type="dxa"/>
            <w:noWrap/>
            <w:vAlign w:val="center"/>
          </w:tcPr>
          <w:p w14:paraId="23DD4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noWrap/>
            <w:vAlign w:val="center"/>
          </w:tcPr>
          <w:p w14:paraId="6116E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</w:tr>
    </w:tbl>
    <w:p w14:paraId="6F1D8C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注：本评分细则的解释权归征集方所有。所有文件、合同等需要真实有效。被征集单位在被征集后签订合同前需提供相关证明文件原件，若发现资料作假的取消被征集人资格。</w:t>
      </w:r>
    </w:p>
    <w:p w14:paraId="365C7744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451B8"/>
    <w:rsid w:val="67F4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kern w:val="0"/>
      <w:sz w:val="20"/>
    </w:rPr>
  </w:style>
  <w:style w:type="paragraph" w:styleId="3">
    <w:name w:val="toc 2"/>
    <w:basedOn w:val="1"/>
    <w:next w:val="1"/>
    <w:qFormat/>
    <w:uiPriority w:val="39"/>
    <w:pPr>
      <w:ind w:left="210"/>
      <w:jc w:val="left"/>
    </w:pPr>
    <w:rPr>
      <w:rFonts w:ascii="Times New Roman" w:hAnsi="Times New Roman"/>
      <w:smallCaps/>
      <w:sz w:val="20"/>
      <w:szCs w:val="20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正文1"/>
    <w:next w:val="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2025-06-19T07:39:00Z</dcterms:created>
  <dc:creator>Satan-魔君</dc:creator>
  <cp:lastModifiedBy>Satan-魔君</cp:lastModifiedBy>
  <dcterms:modified xsi:type="dcterms:W3CDTF">2025-06-19T07:39:57Z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93AA50469F034B4D83E26E1356030F58_11</vt:lpwstr>
  </property>
  <property fmtid="{D5CDD505-2E9C-101B-9397-08002B2CF9AE}" pid="4" name="KSOTemplateDocerSaveRecord">
    <vt:lpwstr>eyJoZGlkIjoiMGQ1NTQ5ZGUxNWRhZmNkOWZmZDQ1NmI3OWQ5NzFjNTkiLCJ1c2VySWQiOiI0OTk2NzMxOTUifQ==</vt:lpwstr>
  </property>
</Properties>
</file>